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Lines="0" w:beforeAutospacing="0" w:after="0" w:afterLines="0" w:afterAutospacing="0"/>
        <w:rPr>
          <w:rFonts w:hint="eastAsia" w:eastAsia="黑体"/>
          <w:color w:val="000000"/>
          <w:lang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山西省建筑施工安全生产管理人员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信用等级评定标准</w:t>
      </w:r>
    </w:p>
    <w:tbl>
      <w:tblPr>
        <w:tblStyle w:val="4"/>
        <w:tblW w:w="878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784"/>
        <w:gridCol w:w="1174"/>
        <w:gridCol w:w="3663"/>
        <w:gridCol w:w="1286"/>
        <w:gridCol w:w="12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信用信息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计分标准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基本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安全生产管理人员的安全生产考核合格证书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，并录入建筑市场监管公共服务平台相应信息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直接得分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优良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加分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  <w:t>能力</w:t>
            </w:r>
          </w:p>
        </w:tc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技术职称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初级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+1分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中级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+3分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高级及以上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+5分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注册类  执业资格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注册证书二级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+3分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注册证书一级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+5分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获奖信息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获国家级奖项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﹢5/项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同一事件按最高分值加、减分（获奖和表彰信息不分等级的按对应分值计入，分等级的二等奖计分乘以0.5，三等奖乘以0.25，优秀奖乘以0.1）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获省部级奖项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﹢3/项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获市级奖项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﹢1/项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表彰信息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受到国家表彰的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﹢5/次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受到省部级表彰的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﹢3/次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受到市级表彰的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﹢1/次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科技创新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获省部级科技成果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﹢3/项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获得市级科技成果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/项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不良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扣分</w:t>
            </w:r>
          </w:p>
        </w:tc>
        <w:tc>
          <w:tcPr>
            <w:tcW w:w="78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市场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行为</w:t>
            </w:r>
          </w:p>
        </w:tc>
        <w:tc>
          <w:tcPr>
            <w:tcW w:w="117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企业负责人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伪造、转让、冒用安全生产考核证书的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未按规定履行安全生产管理职责的（未建立健全企业安全生产管理体系，未设置安全生产管理机构，未配备专职安全生产管理人员，不能保证安全生产投入，未督促检查本企业安全生产工作等）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未按要求与项目负责人签订安全生产责任书的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未按规定参加年度安全教育培训或者继续教育的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7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项目负责人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伪造、转让、冒用安全生产考核证书的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存在人证分离或超执业资格范围承揽业务的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未按规定实施项目安全生产管理的（未监控危险性较大分部分项工程，未及时排查处理施工现场安全事故隐患，未按规定及时报告生产安全事故并开展现场救援）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未按规定履行安全生产管理职责的（未建立项目安全生产管理体系，未明确项目管理人员安全职责，未落实安全生产管理制度，未确保项目安全生产费用有效使用）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工程项目受到行政管理部门通报批评的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未按规定参加年度安全教育培训或者继续教育的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所负责工程项目受到行政管理部门责令停工整改的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作为项目经理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存在人证分离或超执业资格范围承揽业务的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-10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作为项目经理未按照合同约定在岗履职的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7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专职安全管理人员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伪造、转让、冒用安全生产考核证书的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未按规定履行安全生产管理职责的（未检查在建项目安全生产管理情况，未处理在建项目违规违章行为）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未按要求在施工现场开展安全检查，未现场监督危险性较大分部分项工程安全专项施工方案的实施，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对发现的安全生产违章违规行为或安全隐患，未进行纠正或处理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施工现场存在的安全隐患未及时、如实上报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未按规定参加年度安全教育培训或者继续教育的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行政处罚信息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行政管理部门通报批评的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行政管理部门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行政处罚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﹣10/次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安全事故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项目发生一般工程安全事故的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﹣10/次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项目发生较大及以上工程安全事故的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﹣20/次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其它行为信息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未响应主管部门的政策文件要求的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﹣10/次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lang w:bidi="ar"/>
              </w:rPr>
              <w:t>行政部门依法确认的不良信息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﹣10/次</w:t>
            </w: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57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列入建筑市场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主体“黑名单”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利用虚假材料、以欺骗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等不正当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手段取得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安全生产考核证书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的</w:t>
            </w:r>
          </w:p>
        </w:tc>
        <w:tc>
          <w:tcPr>
            <w:tcW w:w="25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直接评为D级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非法涂改、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、转让安全生产考核证书受到行政处罚的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受到吊销安全生产考核证书行政处罚的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未按照相关规定履行安全生产管理职责造成所负责项目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发生重大及以上工程安全事故，或1年内累计发生2次较大及以上工程安全事故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企业主要负责人、项目负责人因工程项目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扬尘治理措施落实不到位，造成环境污染，受到行政处罚且一个月内整改仍不到位的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受到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建部门责令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整改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、行政处罚、通报批评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处理的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，且无正当理由拒不执行的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63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被司法机关、有关行政部门依法确认，列入严重失信行为“黑名单”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的</w:t>
            </w:r>
          </w:p>
        </w:tc>
        <w:tc>
          <w:tcPr>
            <w:tcW w:w="2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42258"/>
    <w:rsid w:val="5B7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qFormat/>
    <w:uiPriority w:val="0"/>
    <w:pPr>
      <w:widowControl w:val="0"/>
      <w:spacing w:before="0" w:beforeLines="0" w:after="0" w:afterLines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2019-08-10T02:28:00Z</dcterms:created>
  <dc:creator>lenovo</dc:creator>
  <cp:lastModifiedBy>z</cp:lastModifiedBy>
  <dcterms:modified xsi:type="dcterms:W3CDTF">2019-09-26T09:15:35Z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