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9B" w:rsidRDefault="00C4089B" w:rsidP="00C4089B">
      <w:pPr>
        <w:spacing w:beforeLines="50" w:before="156" w:afterLines="50" w:after="156" w:line="64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1</w:t>
      </w:r>
    </w:p>
    <w:p w:rsidR="00C4089B" w:rsidRDefault="00C4089B" w:rsidP="00C4089B">
      <w:pPr>
        <w:spacing w:beforeLines="50" w:before="156" w:afterLines="50" w:after="156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工程建设企业社会信用评价管理办法</w:t>
      </w:r>
    </w:p>
    <w:p w:rsidR="00C4089B" w:rsidRDefault="00C4089B" w:rsidP="00C4089B">
      <w:pPr>
        <w:spacing w:beforeLines="50" w:before="156" w:afterLines="100" w:after="312" w:line="640" w:lineRule="exact"/>
        <w:jc w:val="center"/>
        <w:rPr>
          <w:rFonts w:ascii="仿宋_GB2312" w:eastAsia="仿宋_GB2312"/>
          <w:spacing w:val="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（2018年修订稿）</w:t>
      </w:r>
    </w:p>
    <w:p w:rsidR="00C4089B" w:rsidRDefault="00C4089B" w:rsidP="00C4089B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rStyle w:val="a4"/>
          <w:rFonts w:ascii="黑体" w:eastAsia="黑体" w:hAnsi="黑体"/>
          <w:b w:val="0"/>
          <w:sz w:val="32"/>
          <w:szCs w:val="32"/>
        </w:rPr>
      </w:pPr>
      <w:r>
        <w:rPr>
          <w:rStyle w:val="a4"/>
          <w:rFonts w:ascii="黑体" w:eastAsia="黑体" w:hAnsi="黑体"/>
          <w:sz w:val="32"/>
          <w:szCs w:val="32"/>
        </w:rPr>
        <w:t>第一章</w:t>
      </w:r>
      <w:r>
        <w:rPr>
          <w:rStyle w:val="a4"/>
          <w:rFonts w:ascii="黑体" w:eastAsia="黑体" w:hAnsi="黑体" w:hint="eastAsia"/>
          <w:sz w:val="32"/>
          <w:szCs w:val="32"/>
        </w:rPr>
        <w:t xml:space="preserve"> </w:t>
      </w:r>
      <w:r>
        <w:rPr>
          <w:rStyle w:val="a4"/>
          <w:rFonts w:ascii="黑体" w:eastAsia="黑体" w:hAnsi="黑体"/>
          <w:sz w:val="32"/>
          <w:szCs w:val="32"/>
        </w:rPr>
        <w:t>总</w:t>
      </w:r>
      <w:r>
        <w:rPr>
          <w:rStyle w:val="a4"/>
          <w:rFonts w:ascii="黑体" w:eastAsia="黑体" w:hAnsi="黑体" w:hint="eastAsia"/>
          <w:sz w:val="32"/>
          <w:szCs w:val="32"/>
        </w:rPr>
        <w:t xml:space="preserve">  </w:t>
      </w:r>
      <w:r>
        <w:rPr>
          <w:rStyle w:val="a4"/>
          <w:rFonts w:ascii="黑体" w:eastAsia="黑体" w:hAnsi="黑体"/>
          <w:sz w:val="32"/>
          <w:szCs w:val="32"/>
        </w:rPr>
        <w:t>则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为贯彻</w:t>
      </w:r>
      <w:r>
        <w:rPr>
          <w:rFonts w:eastAsia="仿宋_GB2312"/>
          <w:sz w:val="32"/>
          <w:szCs w:val="32"/>
        </w:rPr>
        <w:t>落实国务院</w:t>
      </w:r>
      <w:r>
        <w:rPr>
          <w:rFonts w:eastAsia="仿宋_GB2312" w:hint="eastAsia"/>
          <w:sz w:val="32"/>
          <w:szCs w:val="32"/>
        </w:rPr>
        <w:t>《社会信用体系建设规划纲要（</w:t>
      </w:r>
      <w:r>
        <w:rPr>
          <w:rFonts w:eastAsia="仿宋_GB2312" w:hint="eastAsia"/>
          <w:sz w:val="32"/>
          <w:szCs w:val="32"/>
        </w:rPr>
        <w:t>2014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年）》的战略部署，推进工程建设行业社会信用体系建设，提高工程建设行业的诚信意识和信用水平，进一步</w:t>
      </w:r>
      <w:r>
        <w:rPr>
          <w:rFonts w:eastAsia="仿宋_GB2312"/>
          <w:sz w:val="32"/>
          <w:szCs w:val="32"/>
        </w:rPr>
        <w:t>加强对工程建设企业社会信用评价工作的领导，制定本办法。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>工程建设企业社会信用评价是行业自律行为</w:t>
      </w:r>
      <w:r>
        <w:rPr>
          <w:rFonts w:eastAsia="仿宋_GB2312" w:hint="eastAsia"/>
          <w:sz w:val="32"/>
          <w:szCs w:val="32"/>
        </w:rPr>
        <w:t>，遵循为企业和社会服务、非营利和自愿、公开、公正的原则。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本办法</w:t>
      </w:r>
      <w:r>
        <w:rPr>
          <w:rFonts w:eastAsia="仿宋_GB2312"/>
          <w:sz w:val="32"/>
          <w:szCs w:val="32"/>
        </w:rPr>
        <w:t>适用于从事建筑活动的施工总承包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专业承包企业</w:t>
      </w:r>
      <w:r>
        <w:rPr>
          <w:rFonts w:eastAsia="仿宋_GB2312" w:hint="eastAsia"/>
          <w:sz w:val="32"/>
          <w:szCs w:val="32"/>
        </w:rPr>
        <w:t>。</w:t>
      </w:r>
    </w:p>
    <w:p w:rsidR="00C4089B" w:rsidRDefault="00C4089B" w:rsidP="00C4089B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Style w:val="a4"/>
          <w:rFonts w:ascii="黑体" w:eastAsia="黑体" w:hAnsi="黑体" w:hint="eastAsia"/>
          <w:sz w:val="32"/>
          <w:szCs w:val="32"/>
        </w:rPr>
        <w:t>第二章 组织机构和职责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kern w:val="0"/>
          <w:sz w:val="32"/>
          <w:szCs w:val="32"/>
        </w:rPr>
        <w:t>四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中国施工企业管理协会成立“信用评价工作委员会”（简称“信用委”），</w:t>
      </w:r>
      <w:r>
        <w:rPr>
          <w:rFonts w:eastAsia="仿宋_GB2312"/>
          <w:sz w:val="32"/>
          <w:szCs w:val="32"/>
        </w:rPr>
        <w:t>下设专家委员会和办公室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负责</w:t>
      </w:r>
      <w:r>
        <w:rPr>
          <w:rFonts w:eastAsia="仿宋_GB2312" w:hint="eastAsia"/>
          <w:sz w:val="32"/>
          <w:szCs w:val="32"/>
        </w:rPr>
        <w:t>全</w:t>
      </w:r>
      <w:r>
        <w:rPr>
          <w:rFonts w:eastAsia="仿宋_GB2312"/>
          <w:sz w:val="32"/>
          <w:szCs w:val="32"/>
        </w:rPr>
        <w:t>行业工程建设企业社会信用评价工作。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各省级、地市级</w:t>
      </w:r>
      <w:r>
        <w:rPr>
          <w:rFonts w:eastAsia="仿宋_GB2312"/>
          <w:sz w:val="32"/>
          <w:szCs w:val="32"/>
        </w:rPr>
        <w:t>协会成立相应机构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负责本地区或本行业工程建设企业社会信用评价的组织和协调工作。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kern w:val="0"/>
          <w:sz w:val="32"/>
          <w:szCs w:val="32"/>
        </w:rPr>
        <w:t>六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信用委</w:t>
      </w:r>
      <w:proofErr w:type="gramEnd"/>
      <w:r>
        <w:rPr>
          <w:rFonts w:eastAsia="仿宋_GB2312" w:hint="eastAsia"/>
          <w:sz w:val="32"/>
          <w:szCs w:val="32"/>
        </w:rPr>
        <w:t>的职责是：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（一）贯彻执行国家信用体系建设工作的有关方针政策，</w:t>
      </w:r>
      <w:r>
        <w:rPr>
          <w:rFonts w:eastAsia="仿宋_GB2312" w:hint="eastAsia"/>
          <w:sz w:val="32"/>
          <w:szCs w:val="32"/>
        </w:rPr>
        <w:lastRenderedPageBreak/>
        <w:t>在行政主管部门的指导下，根据企业特点，开展信用体系建设。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（二）加强对会员企业的信用监督和管理。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组织实施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信用评价工作</w:t>
      </w:r>
      <w:r>
        <w:rPr>
          <w:rFonts w:eastAsia="仿宋_GB2312" w:hint="eastAsia"/>
          <w:sz w:val="32"/>
          <w:szCs w:val="32"/>
        </w:rPr>
        <w:t>，制定信用评价工作的有关指导性文件，审定</w:t>
      </w:r>
      <w:r>
        <w:rPr>
          <w:rFonts w:eastAsia="仿宋_GB2312"/>
          <w:sz w:val="32"/>
          <w:szCs w:val="32"/>
        </w:rPr>
        <w:t>信用等级和信用评价报告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研究信用评价工作中的其他重大事项。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（四）组织信用交流和推介活动，推动信用评价成果的应用。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kern w:val="0"/>
          <w:sz w:val="32"/>
          <w:szCs w:val="32"/>
        </w:rPr>
        <w:t>七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>专家委员会</w:t>
      </w:r>
      <w:r>
        <w:rPr>
          <w:rFonts w:eastAsia="仿宋_GB2312" w:hint="eastAsia"/>
          <w:sz w:val="32"/>
          <w:szCs w:val="32"/>
        </w:rPr>
        <w:t>为信用体系建设提供技术支持，承担信用评价现场访谈和评审等工作</w:t>
      </w:r>
      <w:r>
        <w:rPr>
          <w:rFonts w:eastAsia="仿宋_GB2312"/>
          <w:sz w:val="32"/>
          <w:szCs w:val="32"/>
        </w:rPr>
        <w:t>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kern w:val="0"/>
          <w:sz w:val="32"/>
          <w:szCs w:val="32"/>
        </w:rPr>
        <w:t>八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>办公室负责信用评价的具体工作。主要职责是：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（一）具体组织、协调工程建设企业社会信用评价工作；</w:t>
      </w:r>
      <w:r>
        <w:rPr>
          <w:rFonts w:eastAsia="仿宋_GB2312"/>
          <w:sz w:val="32"/>
          <w:szCs w:val="32"/>
        </w:rPr>
        <w:t xml:space="preserve"> </w:t>
      </w:r>
    </w:p>
    <w:p w:rsidR="00C4089B" w:rsidRDefault="00C4089B" w:rsidP="00C4089B">
      <w:pPr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</w:t>
      </w: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/>
          <w:sz w:val="32"/>
          <w:szCs w:val="32"/>
        </w:rPr>
        <w:t>信用评价结果进行审查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提出审查意见</w:t>
      </w:r>
      <w:r>
        <w:rPr>
          <w:rFonts w:eastAsia="仿宋_GB2312" w:hint="eastAsia"/>
          <w:sz w:val="32"/>
          <w:szCs w:val="32"/>
        </w:rPr>
        <w:t>；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（三）组织</w:t>
      </w:r>
      <w:r>
        <w:rPr>
          <w:rFonts w:eastAsia="仿宋_GB2312" w:hint="eastAsia"/>
          <w:sz w:val="32"/>
          <w:szCs w:val="32"/>
        </w:rPr>
        <w:t>信用评估专家</w:t>
      </w:r>
      <w:r>
        <w:rPr>
          <w:rFonts w:eastAsia="仿宋_GB2312"/>
          <w:sz w:val="32"/>
          <w:szCs w:val="32"/>
        </w:rPr>
        <w:t>的培训、考试、继续教育等工作；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（四）信用信息平台建设工作</w:t>
      </w:r>
      <w:r>
        <w:rPr>
          <w:rFonts w:eastAsia="仿宋_GB2312" w:hint="eastAsia"/>
          <w:sz w:val="32"/>
          <w:szCs w:val="32"/>
        </w:rPr>
        <w:t>；</w:t>
      </w:r>
    </w:p>
    <w:p w:rsidR="00C4089B" w:rsidRDefault="00C4089B" w:rsidP="00C4089B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proofErr w:type="gramStart"/>
      <w:r>
        <w:rPr>
          <w:rFonts w:eastAsia="仿宋_GB2312"/>
          <w:sz w:val="32"/>
          <w:szCs w:val="32"/>
        </w:rPr>
        <w:t>信用委</w:t>
      </w:r>
      <w:proofErr w:type="gramEnd"/>
      <w:r>
        <w:rPr>
          <w:rFonts w:eastAsia="仿宋_GB2312" w:hint="eastAsia"/>
          <w:sz w:val="32"/>
          <w:szCs w:val="32"/>
        </w:rPr>
        <w:t>交办</w:t>
      </w:r>
      <w:r>
        <w:rPr>
          <w:rFonts w:eastAsia="仿宋_GB2312"/>
          <w:sz w:val="32"/>
          <w:szCs w:val="32"/>
        </w:rPr>
        <w:t>的其他工作。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办公室设在协会秘书处。</w:t>
      </w:r>
    </w:p>
    <w:p w:rsidR="00C4089B" w:rsidRDefault="00C4089B" w:rsidP="00C4089B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rStyle w:val="a4"/>
          <w:rFonts w:ascii="仿宋_GB2312" w:eastAsia="仿宋_GB2312"/>
        </w:rPr>
      </w:pPr>
      <w:r>
        <w:rPr>
          <w:rStyle w:val="a4"/>
          <w:rFonts w:ascii="黑体" w:eastAsia="黑体" w:hAnsi="黑体" w:hint="eastAsia"/>
          <w:sz w:val="32"/>
          <w:szCs w:val="32"/>
        </w:rPr>
        <w:t>第三章 信用等级标准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工程建设企业信用评价内容包括企业经营、管理、财务、质量、安全、优良行为记录、不良行为记录等内容。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第十条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为客观衡量企业信用状况，本办法规定的信用等级评定采用以定量分析为主，结合定性分析的方法进行。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工程建设企业社会信用评价等级分为</w:t>
      </w:r>
      <w:r>
        <w:rPr>
          <w:rFonts w:eastAsia="仿宋_GB2312" w:hint="eastAsia"/>
          <w:sz w:val="32"/>
          <w:szCs w:val="32"/>
        </w:rPr>
        <w:t>AAA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AA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三类五级。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AAA</w:t>
      </w:r>
      <w:r>
        <w:rPr>
          <w:rFonts w:eastAsia="仿宋_GB2312" w:hint="eastAsia"/>
          <w:sz w:val="32"/>
          <w:szCs w:val="32"/>
        </w:rPr>
        <w:t>级：信用很好。表示受信单位诚信度很高，各项指标优秀，履约能力很强、履约意愿很强，社会信誉很好。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AA</w:t>
      </w:r>
      <w:r>
        <w:rPr>
          <w:rFonts w:eastAsia="仿宋_GB2312" w:hint="eastAsia"/>
          <w:sz w:val="32"/>
          <w:szCs w:val="32"/>
        </w:rPr>
        <w:t>级：信用良好。表示受信单位诚信度高，各项指标先进，履约能力强、履约意愿强，社会信誉好。</w:t>
      </w:r>
    </w:p>
    <w:p w:rsidR="00C4089B" w:rsidRDefault="00C4089B" w:rsidP="00C4089B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A</w:t>
      </w:r>
      <w:r>
        <w:rPr>
          <w:rFonts w:eastAsia="仿宋_GB2312" w:hint="eastAsia"/>
          <w:sz w:val="32"/>
          <w:szCs w:val="32"/>
        </w:rPr>
        <w:t>级：信用较好。表示受信单位诚信度较高，各项指标较先进，履约能力较强、履约意愿较强，社会信誉较好。</w:t>
      </w:r>
    </w:p>
    <w:p w:rsidR="00C4089B" w:rsidRDefault="00C4089B" w:rsidP="00C4089B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B</w:t>
      </w:r>
      <w:r>
        <w:rPr>
          <w:rFonts w:eastAsia="仿宋_GB2312" w:hint="eastAsia"/>
          <w:sz w:val="32"/>
          <w:szCs w:val="32"/>
        </w:rPr>
        <w:t>级：信用一般。表示受信单位诚信度一般，各项指标一般，履约能力一般、履约意愿一般，社会信誉一般。</w:t>
      </w:r>
    </w:p>
    <w:p w:rsidR="00C4089B" w:rsidRDefault="00C4089B" w:rsidP="00C4089B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级：信用差。表示受信单位诚信度差，各项指标落后，履约能力弱、履约意愿差，社会信誉差。</w:t>
      </w:r>
    </w:p>
    <w:p w:rsidR="00C4089B" w:rsidRDefault="00C4089B" w:rsidP="00C4089B">
      <w:pPr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第十二条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信用等级的划分标准为：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333"/>
        <w:gridCol w:w="2204"/>
        <w:gridCol w:w="2482"/>
      </w:tblGrid>
      <w:tr w:rsidR="00C4089B" w:rsidTr="008476FA">
        <w:trPr>
          <w:trHeight w:val="602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国家</w:t>
            </w:r>
            <w:r>
              <w:rPr>
                <w:rFonts w:eastAsia="仿宋_GB2312"/>
                <w:sz w:val="32"/>
                <w:szCs w:val="32"/>
              </w:rPr>
              <w:t>级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省级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地市级</w:t>
            </w:r>
          </w:p>
        </w:tc>
      </w:tr>
      <w:tr w:rsidR="00C4089B" w:rsidTr="008476FA">
        <w:trPr>
          <w:trHeight w:val="823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AAA</w:t>
            </w:r>
            <w:r>
              <w:rPr>
                <w:rFonts w:eastAsia="仿宋_GB2312" w:hint="eastAsia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80</w:t>
            </w:r>
            <w:r>
              <w:rPr>
                <w:rFonts w:eastAsia="仿宋_GB2312" w:hint="eastAsia"/>
                <w:sz w:val="32"/>
                <w:szCs w:val="32"/>
              </w:rPr>
              <w:t>分（含）以上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75</w:t>
            </w:r>
            <w:r>
              <w:rPr>
                <w:rFonts w:eastAsia="仿宋_GB2312" w:hint="eastAsia"/>
                <w:sz w:val="32"/>
                <w:szCs w:val="32"/>
              </w:rPr>
              <w:t>分（含）以上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70</w:t>
            </w:r>
            <w:r>
              <w:rPr>
                <w:rFonts w:eastAsia="仿宋_GB2312" w:hint="eastAsia"/>
                <w:sz w:val="32"/>
                <w:szCs w:val="32"/>
              </w:rPr>
              <w:t>分（含）以上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  <w:tr w:rsidR="00C4089B" w:rsidTr="008476FA">
        <w:trPr>
          <w:trHeight w:val="811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AA</w:t>
            </w:r>
            <w:r>
              <w:rPr>
                <w:rFonts w:eastAsia="仿宋_GB2312" w:hint="eastAsia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70</w:t>
            </w:r>
            <w:r>
              <w:rPr>
                <w:rFonts w:eastAsia="仿宋_GB2312" w:hint="eastAsia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-80</w:t>
            </w:r>
            <w:r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65</w:t>
            </w:r>
            <w:r>
              <w:rPr>
                <w:rFonts w:eastAsia="仿宋_GB2312" w:hint="eastAsia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-75</w:t>
            </w:r>
            <w:r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60</w:t>
            </w:r>
            <w:r>
              <w:rPr>
                <w:rFonts w:eastAsia="仿宋_GB2312" w:hint="eastAsia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-70</w:t>
            </w:r>
            <w:r>
              <w:rPr>
                <w:rFonts w:eastAsia="仿宋_GB2312" w:hint="eastAsia"/>
                <w:sz w:val="32"/>
                <w:szCs w:val="32"/>
              </w:rPr>
              <w:t>分</w:t>
            </w:r>
          </w:p>
        </w:tc>
      </w:tr>
      <w:tr w:rsidR="00C4089B" w:rsidTr="008476FA">
        <w:trPr>
          <w:trHeight w:val="819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A</w:t>
            </w:r>
            <w:r>
              <w:rPr>
                <w:rFonts w:eastAsia="仿宋_GB2312" w:hint="eastAsia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60</w:t>
            </w:r>
            <w:r>
              <w:rPr>
                <w:rFonts w:eastAsia="仿宋_GB2312" w:hint="eastAsia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-70</w:t>
            </w:r>
            <w:r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55</w:t>
            </w:r>
            <w:r>
              <w:rPr>
                <w:rFonts w:eastAsia="仿宋_GB2312" w:hint="eastAsia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-65</w:t>
            </w:r>
            <w:r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50</w:t>
            </w:r>
            <w:r>
              <w:rPr>
                <w:rFonts w:eastAsia="仿宋_GB2312" w:hint="eastAsia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-60</w:t>
            </w:r>
            <w:r>
              <w:rPr>
                <w:rFonts w:eastAsia="仿宋_GB2312" w:hint="eastAsia"/>
                <w:sz w:val="32"/>
                <w:szCs w:val="32"/>
              </w:rPr>
              <w:t>分</w:t>
            </w:r>
          </w:p>
        </w:tc>
      </w:tr>
      <w:tr w:rsidR="00C4089B" w:rsidTr="008476FA">
        <w:trPr>
          <w:trHeight w:val="804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B</w:t>
            </w:r>
            <w:r>
              <w:rPr>
                <w:rFonts w:eastAsia="仿宋_GB2312" w:hint="eastAsia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50</w:t>
            </w:r>
            <w:r>
              <w:rPr>
                <w:rFonts w:eastAsia="仿宋_GB2312" w:hint="eastAsia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-60</w:t>
            </w:r>
            <w:r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45</w:t>
            </w:r>
            <w:r>
              <w:rPr>
                <w:rFonts w:eastAsia="仿宋_GB2312" w:hint="eastAsia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-55</w:t>
            </w:r>
            <w:r>
              <w:rPr>
                <w:rFonts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40</w:t>
            </w:r>
            <w:r>
              <w:rPr>
                <w:rFonts w:eastAsia="仿宋_GB2312" w:hint="eastAsia"/>
                <w:sz w:val="32"/>
                <w:szCs w:val="32"/>
              </w:rPr>
              <w:t>（含）</w:t>
            </w:r>
            <w:r>
              <w:rPr>
                <w:rFonts w:eastAsia="仿宋_GB2312"/>
                <w:sz w:val="32"/>
                <w:szCs w:val="32"/>
              </w:rPr>
              <w:t>-50</w:t>
            </w:r>
            <w:r>
              <w:rPr>
                <w:rFonts w:eastAsia="仿宋_GB2312" w:hint="eastAsia"/>
                <w:sz w:val="32"/>
                <w:szCs w:val="32"/>
              </w:rPr>
              <w:t>分</w:t>
            </w:r>
          </w:p>
        </w:tc>
      </w:tr>
      <w:tr w:rsidR="00C4089B" w:rsidTr="008476FA">
        <w:trPr>
          <w:trHeight w:val="815"/>
        </w:trPr>
        <w:tc>
          <w:tcPr>
            <w:tcW w:w="76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C</w:t>
            </w:r>
            <w:r>
              <w:rPr>
                <w:rFonts w:eastAsia="仿宋_GB2312" w:hint="eastAsia"/>
                <w:sz w:val="32"/>
                <w:szCs w:val="32"/>
              </w:rPr>
              <w:t>级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50</w:t>
            </w:r>
            <w:r>
              <w:rPr>
                <w:rFonts w:eastAsia="仿宋_GB2312" w:hint="eastAsia"/>
                <w:sz w:val="32"/>
                <w:szCs w:val="32"/>
              </w:rPr>
              <w:t>分以下</w:t>
            </w:r>
          </w:p>
        </w:tc>
        <w:tc>
          <w:tcPr>
            <w:tcW w:w="133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45</w:t>
            </w:r>
            <w:r>
              <w:rPr>
                <w:rFonts w:eastAsia="仿宋_GB2312" w:hint="eastAsia"/>
                <w:sz w:val="32"/>
                <w:szCs w:val="32"/>
              </w:rPr>
              <w:t>分以下</w:t>
            </w:r>
          </w:p>
        </w:tc>
        <w:tc>
          <w:tcPr>
            <w:tcW w:w="149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89B" w:rsidRDefault="00C4089B" w:rsidP="008476FA">
            <w:pPr>
              <w:tabs>
                <w:tab w:val="left" w:pos="1620"/>
              </w:tabs>
              <w:snapToGrid w:val="0"/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40</w:t>
            </w:r>
            <w:r>
              <w:rPr>
                <w:rFonts w:eastAsia="仿宋_GB2312" w:hint="eastAsia"/>
                <w:sz w:val="32"/>
                <w:szCs w:val="32"/>
              </w:rPr>
              <w:t>分以下</w:t>
            </w:r>
          </w:p>
        </w:tc>
      </w:tr>
    </w:tbl>
    <w:p w:rsidR="00C4089B" w:rsidRDefault="00C4089B" w:rsidP="00C4089B">
      <w:pPr>
        <w:tabs>
          <w:tab w:val="left" w:pos="1620"/>
        </w:tabs>
        <w:snapToGrid w:val="0"/>
        <w:spacing w:line="600" w:lineRule="exact"/>
        <w:ind w:firstLineChars="225" w:firstLine="720"/>
        <w:rPr>
          <w:rFonts w:eastAsia="仿宋_GB2312"/>
          <w:sz w:val="32"/>
          <w:szCs w:val="32"/>
        </w:rPr>
      </w:pPr>
    </w:p>
    <w:p w:rsidR="00C4089B" w:rsidRDefault="00C4089B" w:rsidP="00C4089B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Style w:val="a4"/>
          <w:rFonts w:ascii="黑体" w:eastAsia="黑体" w:hAnsi="黑体" w:hint="eastAsia"/>
          <w:sz w:val="32"/>
          <w:szCs w:val="32"/>
        </w:rPr>
        <w:t>第四章 信用评价模式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第十三条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中国施工企业管理协会与省级、地市级协会实行联合评价的模式开展全行业信用评价工作。</w:t>
      </w:r>
    </w:p>
    <w:p w:rsidR="00C4089B" w:rsidRDefault="00C4089B" w:rsidP="00C4089B">
      <w:pPr>
        <w:pStyle w:val="a3"/>
        <w:shd w:val="clear" w:color="auto" w:fill="FFFFFF"/>
        <w:spacing w:before="0" w:beforeAutospacing="0" w:after="0" w:afterAutospacing="0" w:line="380" w:lineRule="atLeast"/>
        <w:ind w:firstLine="720"/>
        <w:jc w:val="both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第十四条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三级联动评价。按照各省级、地市级协会提出的评价计划，由中国施工企业管理协会统一协调组织，分类开展评价，统一发布三级信用等级结果。</w:t>
      </w:r>
    </w:p>
    <w:p w:rsidR="00C4089B" w:rsidRDefault="00C4089B" w:rsidP="00C4089B">
      <w:pPr>
        <w:pStyle w:val="a3"/>
        <w:shd w:val="clear" w:color="auto" w:fill="FFFFFF"/>
        <w:spacing w:before="0" w:beforeAutospacing="0" w:after="0" w:afterAutospacing="0" w:line="380" w:lineRule="atLeast"/>
        <w:ind w:firstLine="720"/>
        <w:jc w:val="both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省市联动评价。按照各地市级协会提出的评价计划，由省级协会协调组织全省评价活动，发布两级信用等级结果，并向中国施工企业管理协会进行备案。</w:t>
      </w:r>
    </w:p>
    <w:p w:rsidR="00C4089B" w:rsidRDefault="00C4089B" w:rsidP="00C4089B">
      <w:pPr>
        <w:pStyle w:val="a3"/>
        <w:shd w:val="clear" w:color="auto" w:fill="FFFFFF"/>
        <w:spacing w:before="0" w:beforeAutospacing="0" w:after="0" w:afterAutospacing="0" w:line="380" w:lineRule="atLeast"/>
        <w:ind w:firstLine="720"/>
        <w:jc w:val="both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 xml:space="preserve">　地</w:t>
      </w:r>
      <w:r>
        <w:rPr>
          <w:rFonts w:eastAsia="仿宋_GB2312" w:hint="eastAsia"/>
          <w:sz w:val="32"/>
          <w:szCs w:val="32"/>
        </w:rPr>
        <w:t>市级单独评价。各地市级协会根据企业需求单独组织开展本市评价活动，发布本级信用等级结果，并向省级协会进行备案。</w:t>
      </w:r>
    </w:p>
    <w:p w:rsidR="00C4089B" w:rsidRDefault="00C4089B" w:rsidP="00C4089B">
      <w:pPr>
        <w:pStyle w:val="a3"/>
        <w:shd w:val="clear" w:color="auto" w:fill="FFFFFF"/>
        <w:spacing w:before="0" w:beforeAutospacing="0" w:after="0" w:afterAutospacing="0" w:line="380" w:lineRule="atLeast"/>
        <w:ind w:firstLine="720"/>
        <w:jc w:val="both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第十七条</w:t>
      </w:r>
      <w:r>
        <w:rPr>
          <w:rFonts w:ascii="仿宋_GB2312" w:eastAsia="仿宋_GB2312" w:hint="eastAsia"/>
          <w:sz w:val="32"/>
          <w:szCs w:val="32"/>
        </w:rPr>
        <w:t xml:space="preserve">　地</w:t>
      </w:r>
      <w:r>
        <w:rPr>
          <w:rFonts w:eastAsia="仿宋_GB2312" w:hint="eastAsia"/>
          <w:sz w:val="32"/>
          <w:szCs w:val="32"/>
        </w:rPr>
        <w:t>市级、省级协会在组织评价过程中，如果发现企业评价标准达到上级信用等级标准的，应该及时与上级联合评价。</w:t>
      </w:r>
    </w:p>
    <w:p w:rsidR="00C4089B" w:rsidRDefault="00C4089B" w:rsidP="00C4089B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Style w:val="a4"/>
          <w:rFonts w:ascii="黑体" w:eastAsia="黑体" w:hAnsi="黑体" w:hint="eastAsia"/>
          <w:sz w:val="32"/>
          <w:szCs w:val="32"/>
        </w:rPr>
        <w:t>第五章 信用评价程序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第十八条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企业申报。</w:t>
      </w:r>
      <w:r>
        <w:rPr>
          <w:rFonts w:eastAsia="仿宋_GB2312"/>
          <w:sz w:val="32"/>
          <w:szCs w:val="32"/>
        </w:rPr>
        <w:t>参加工程建设企业社会信用评价的企业须通过</w:t>
      </w:r>
      <w:r>
        <w:rPr>
          <w:rFonts w:eastAsia="仿宋_GB2312" w:hint="eastAsia"/>
          <w:sz w:val="32"/>
          <w:szCs w:val="32"/>
        </w:rPr>
        <w:t>各级信用体系建设平台填报相关信息。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第十九条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初步核查。办公室对所属企业填报材料的真实性、完整性进行审核。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第二十条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专家评审。办公室组织评价专家组对材料进行审核，结合</w:t>
      </w:r>
      <w:r>
        <w:rPr>
          <w:rFonts w:eastAsia="仿宋_GB2312"/>
          <w:sz w:val="32"/>
          <w:szCs w:val="32"/>
        </w:rPr>
        <w:t>其他</w:t>
      </w:r>
      <w:r>
        <w:rPr>
          <w:rFonts w:eastAsia="仿宋_GB2312" w:hint="eastAsia"/>
          <w:sz w:val="32"/>
          <w:szCs w:val="32"/>
        </w:rPr>
        <w:t>合法</w:t>
      </w:r>
      <w:r>
        <w:rPr>
          <w:rFonts w:eastAsia="仿宋_GB2312"/>
          <w:sz w:val="32"/>
          <w:szCs w:val="32"/>
        </w:rPr>
        <w:t>有效信用信息</w:t>
      </w:r>
      <w:r>
        <w:rPr>
          <w:rFonts w:eastAsia="仿宋_GB2312" w:hint="eastAsia"/>
          <w:sz w:val="32"/>
          <w:szCs w:val="32"/>
        </w:rPr>
        <w:t>，对参评企业</w:t>
      </w:r>
      <w:r>
        <w:rPr>
          <w:rFonts w:eastAsia="仿宋_GB2312"/>
          <w:sz w:val="32"/>
          <w:szCs w:val="32"/>
        </w:rPr>
        <w:t>进行实地访谈及综合评价，并撰写信用评价报告。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评价专家组成员从持有信用专家</w:t>
      </w:r>
      <w:r>
        <w:rPr>
          <w:rFonts w:eastAsia="仿宋_GB2312"/>
          <w:sz w:val="32"/>
          <w:szCs w:val="32"/>
        </w:rPr>
        <w:t>证书的</w:t>
      </w:r>
      <w:r>
        <w:rPr>
          <w:rFonts w:eastAsia="仿宋_GB2312" w:hint="eastAsia"/>
          <w:sz w:val="32"/>
          <w:szCs w:val="32"/>
        </w:rPr>
        <w:t>专家库中随机抽取，由企业管理、质量安全、财务管理方面的三名行业专家和信用管理专家组成，视企业情况也可适时调整。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第二十一条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等级审定</w:t>
      </w:r>
      <w:r>
        <w:rPr>
          <w:rFonts w:ascii="黑体" w:eastAsia="黑体" w:hAnsi="黑体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办公室</w:t>
      </w:r>
      <w:r>
        <w:rPr>
          <w:rFonts w:eastAsia="仿宋_GB2312"/>
          <w:sz w:val="32"/>
          <w:szCs w:val="32"/>
        </w:rPr>
        <w:t>向</w:t>
      </w:r>
      <w:proofErr w:type="gramStart"/>
      <w:r>
        <w:rPr>
          <w:rFonts w:eastAsia="仿宋_GB2312"/>
          <w:sz w:val="32"/>
          <w:szCs w:val="32"/>
        </w:rPr>
        <w:t>信用委</w:t>
      </w:r>
      <w:proofErr w:type="gramEnd"/>
      <w:r>
        <w:rPr>
          <w:rFonts w:eastAsia="仿宋_GB2312" w:hint="eastAsia"/>
          <w:sz w:val="32"/>
          <w:szCs w:val="32"/>
        </w:rPr>
        <w:t>提交评价报告，并组织召开</w:t>
      </w:r>
      <w:r>
        <w:rPr>
          <w:rFonts w:eastAsia="仿宋_GB2312"/>
          <w:sz w:val="32"/>
          <w:szCs w:val="32"/>
        </w:rPr>
        <w:t>评审会进行等级评定。评审会须由</w:t>
      </w:r>
      <w:r>
        <w:rPr>
          <w:rFonts w:eastAsia="仿宋_GB2312" w:hint="eastAsia"/>
          <w:sz w:val="32"/>
          <w:szCs w:val="32"/>
        </w:rPr>
        <w:t>工作领导机构</w:t>
      </w:r>
      <w:r>
        <w:rPr>
          <w:rFonts w:eastAsia="仿宋_GB2312"/>
          <w:sz w:val="32"/>
          <w:szCs w:val="32"/>
        </w:rPr>
        <w:t>2/3</w:t>
      </w:r>
      <w:r>
        <w:rPr>
          <w:rFonts w:eastAsia="仿宋_GB2312"/>
          <w:sz w:val="32"/>
          <w:szCs w:val="32"/>
        </w:rPr>
        <w:t>以上的成员出席，并获出席成员的</w:t>
      </w:r>
      <w:r>
        <w:rPr>
          <w:rFonts w:eastAsia="仿宋_GB2312"/>
          <w:sz w:val="32"/>
          <w:szCs w:val="32"/>
        </w:rPr>
        <w:t>2/3</w:t>
      </w:r>
      <w:r>
        <w:rPr>
          <w:rFonts w:eastAsia="仿宋_GB2312"/>
          <w:sz w:val="32"/>
          <w:szCs w:val="32"/>
        </w:rPr>
        <w:t>以上同意通过</w:t>
      </w:r>
      <w:r>
        <w:rPr>
          <w:rFonts w:eastAsia="仿宋_GB2312" w:hint="eastAsia"/>
          <w:sz w:val="32"/>
          <w:szCs w:val="32"/>
        </w:rPr>
        <w:t>方能有效</w:t>
      </w:r>
      <w:r>
        <w:rPr>
          <w:rFonts w:eastAsia="仿宋_GB2312"/>
          <w:sz w:val="32"/>
          <w:szCs w:val="32"/>
        </w:rPr>
        <w:t>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信用等级有效期三年。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第二十二条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公示。审定结果将在官网上公示，公示期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天。在公示期间，如果没有异议，则评价结果为首次评价的最终信用等级。如有异议，且在公示期间内提出申诉或投诉申请的，并提供相关材料的，办公室组织复审，重新确定最终信用等级，且复审仅限一次。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第二十三条</w:t>
      </w:r>
      <w:r>
        <w:rPr>
          <w:rFonts w:ascii="仿宋_GB2312" w:eastAsia="仿宋_GB2312" w:hint="eastAsia"/>
          <w:sz w:val="32"/>
          <w:szCs w:val="32"/>
        </w:rPr>
        <w:t xml:space="preserve">　发布。等级确定后将评价结果在</w:t>
      </w:r>
      <w:r>
        <w:rPr>
          <w:rFonts w:eastAsia="仿宋_GB2312" w:hint="eastAsia"/>
          <w:sz w:val="32"/>
          <w:szCs w:val="32"/>
        </w:rPr>
        <w:t>各级信用体系建设平台上进行发布</w:t>
      </w:r>
      <w:r>
        <w:rPr>
          <w:rFonts w:eastAsia="仿宋_GB2312"/>
          <w:sz w:val="32"/>
          <w:szCs w:val="32"/>
        </w:rPr>
        <w:t>，并颁发统一印制的信用等级证书、证牌。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第二十四条</w:t>
      </w:r>
      <w:r>
        <w:rPr>
          <w:rFonts w:ascii="仿宋_GB2312" w:eastAsia="仿宋_GB2312" w:hint="eastAsia"/>
          <w:sz w:val="32"/>
          <w:szCs w:val="32"/>
        </w:rPr>
        <w:t xml:space="preserve">　评价结果备案。采取逐级备案制，省级协会将信用等级信息向中国施工企业管理协会备案；地市级协会将信用等级信息向省级协会备案。</w:t>
      </w:r>
    </w:p>
    <w:p w:rsidR="00C4089B" w:rsidRDefault="00C4089B" w:rsidP="00C4089B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rStyle w:val="a4"/>
          <w:rFonts w:ascii="黑体" w:eastAsia="黑体" w:hAnsi="黑体"/>
          <w:b w:val="0"/>
          <w:sz w:val="32"/>
          <w:szCs w:val="32"/>
        </w:rPr>
      </w:pPr>
      <w:r>
        <w:rPr>
          <w:rStyle w:val="a4"/>
          <w:rFonts w:ascii="黑体" w:eastAsia="黑体" w:hAnsi="黑体" w:hint="eastAsia"/>
          <w:sz w:val="32"/>
          <w:szCs w:val="32"/>
        </w:rPr>
        <w:lastRenderedPageBreak/>
        <w:t>第六章 信用等级管理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kern w:val="0"/>
          <w:sz w:val="32"/>
          <w:szCs w:val="32"/>
        </w:rPr>
        <w:t>二十五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建立信用档案。包括企业的基本信息、信用等级信息、经营信息、优良信息和不良信息；包括个人的基本信息、优良信息和不良信息。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第二十六条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实行动态管理。企业每年在规定时间内通过各级信用体系建设平台填报信用信息。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各级协会对企业的生产经营、财务状况和质量安全等情况进行监督，掌握企业动态，了解企业信用情况，调整相关信用信息。根据企业填报信息和通过其他渠道收集到的信用信息，重新核准信用等级并及时公布。</w:t>
      </w:r>
    </w:p>
    <w:p w:rsidR="00C4089B" w:rsidRDefault="00C4089B" w:rsidP="00C408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第二</w:t>
      </w:r>
      <w:r>
        <w:rPr>
          <w:rFonts w:ascii="黑体" w:eastAsia="黑体" w:hAnsi="黑体" w:cs="宋体" w:hint="eastAsia"/>
          <w:kern w:val="0"/>
          <w:sz w:val="32"/>
          <w:szCs w:val="32"/>
        </w:rPr>
        <w:t>十七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等级在有效期内，具备晋级条件的企业，可在下一年度提出申请，按照初次参评程序重新核定等级；有效期满，企业应在当年度按照工作要求时间重新申报信用等级。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第二十</w:t>
      </w:r>
      <w:r>
        <w:rPr>
          <w:rFonts w:ascii="黑体" w:eastAsia="黑体" w:hAnsi="黑体" w:cs="宋体" w:hint="eastAsia"/>
          <w:kern w:val="0"/>
          <w:sz w:val="32"/>
          <w:szCs w:val="32"/>
        </w:rPr>
        <w:t>八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信用等级有效期内未发生升级、降级的，信用证牌三年更换一次；等级发生变化的企业，信用证牌当年度更换。企业信用等级以平台发布为准。</w:t>
      </w:r>
    </w:p>
    <w:p w:rsidR="00C4089B" w:rsidRDefault="00C4089B" w:rsidP="00C4089B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Style w:val="a4"/>
          <w:rFonts w:ascii="黑体" w:eastAsia="黑体" w:hAnsi="黑体" w:hint="eastAsia"/>
          <w:sz w:val="32"/>
          <w:szCs w:val="32"/>
        </w:rPr>
        <w:t>第七章 信用评价结果应用</w:t>
      </w:r>
    </w:p>
    <w:p w:rsidR="00C4089B" w:rsidRDefault="00C4089B" w:rsidP="00C4089B">
      <w:pPr>
        <w:ind w:firstLine="63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第二</w:t>
      </w:r>
      <w:r>
        <w:rPr>
          <w:rFonts w:ascii="黑体" w:eastAsia="黑体" w:hAnsi="黑体" w:cs="宋体" w:hint="eastAsia"/>
          <w:kern w:val="0"/>
          <w:sz w:val="32"/>
          <w:szCs w:val="32"/>
        </w:rPr>
        <w:t>十九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信用评价结果是建筑市场相关企业进行行政许可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市场准入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资质和资格管理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投标资格审查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农民工工资支付保证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重点扶持优势企业</w:t>
      </w:r>
      <w:r>
        <w:rPr>
          <w:rFonts w:eastAsia="仿宋_GB2312" w:hint="eastAsia"/>
          <w:sz w:val="32"/>
          <w:szCs w:val="32"/>
        </w:rPr>
        <w:t>和行业评优评先的依据之一。</w:t>
      </w:r>
    </w:p>
    <w:p w:rsidR="00C4089B" w:rsidRDefault="00C4089B" w:rsidP="00C4089B">
      <w:pPr>
        <w:ind w:firstLine="63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lastRenderedPageBreak/>
        <w:t>第</w:t>
      </w:r>
      <w:r>
        <w:rPr>
          <w:rFonts w:ascii="黑体" w:eastAsia="黑体" w:hAnsi="黑体" w:cs="宋体" w:hint="eastAsia"/>
          <w:kern w:val="0"/>
          <w:sz w:val="32"/>
          <w:szCs w:val="32"/>
        </w:rPr>
        <w:t>三十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根据信用评价结果对会员企业实行综合分类管理。</w:t>
      </w:r>
    </w:p>
    <w:p w:rsidR="00C4089B" w:rsidRDefault="00C4089B" w:rsidP="00C4089B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rFonts w:eastAsia="黑体"/>
          <w:sz w:val="32"/>
          <w:szCs w:val="32"/>
        </w:rPr>
      </w:pPr>
      <w:r>
        <w:rPr>
          <w:rStyle w:val="a4"/>
          <w:rFonts w:ascii="黑体" w:eastAsia="黑体" w:hAnsi="黑体"/>
          <w:sz w:val="32"/>
          <w:szCs w:val="32"/>
        </w:rPr>
        <w:t>第</w:t>
      </w:r>
      <w:r>
        <w:rPr>
          <w:rStyle w:val="a4"/>
          <w:rFonts w:ascii="黑体" w:eastAsia="黑体" w:hAnsi="黑体" w:hint="eastAsia"/>
          <w:sz w:val="32"/>
          <w:szCs w:val="32"/>
        </w:rPr>
        <w:t>八</w:t>
      </w:r>
      <w:r>
        <w:rPr>
          <w:rStyle w:val="a4"/>
          <w:rFonts w:ascii="黑体" w:eastAsia="黑体" w:hAnsi="黑体"/>
          <w:sz w:val="32"/>
          <w:szCs w:val="32"/>
        </w:rPr>
        <w:t>章 工作纪律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kern w:val="0"/>
          <w:sz w:val="32"/>
          <w:szCs w:val="32"/>
        </w:rPr>
        <w:t>三十一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信用评价工作接受社会各界监督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任何单位和个人对评价结果有异议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均可向政府主管部门和中施企协投诉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举报</w:t>
      </w:r>
      <w:r>
        <w:rPr>
          <w:rFonts w:eastAsia="仿宋_GB2312" w:hint="eastAsia"/>
          <w:sz w:val="32"/>
          <w:szCs w:val="32"/>
        </w:rPr>
        <w:t>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第三十二条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参评</w:t>
      </w:r>
      <w:r>
        <w:rPr>
          <w:rFonts w:eastAsia="仿宋_GB2312"/>
          <w:sz w:val="32"/>
          <w:szCs w:val="32"/>
        </w:rPr>
        <w:t>企业在信用评价过程中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不得隐瞒事实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弄虚作假</w:t>
      </w:r>
      <w:r>
        <w:rPr>
          <w:rFonts w:eastAsia="仿宋_GB2312" w:hint="eastAsia"/>
          <w:sz w:val="32"/>
          <w:szCs w:val="32"/>
        </w:rPr>
        <w:t>。有上述行为的，各级协会视其情节轻重给予取消参评资格、通报批评、取消信用等级等处理。因虚假申请给社会公共利益或他人造成损害的，引发纠纷的，由参评单位承担责任。</w:t>
      </w:r>
    </w:p>
    <w:p w:rsidR="00C4089B" w:rsidRDefault="00C4089B" w:rsidP="00C4089B">
      <w:pPr>
        <w:ind w:firstLine="63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kern w:val="0"/>
          <w:sz w:val="32"/>
          <w:szCs w:val="32"/>
        </w:rPr>
        <w:t>三十三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>信用评价各负责机构必须客观公正，不得故意刁难参评企业，不接受参评企业财物，不得纵容参评企业提供虚假信息，提交的信用信息必须真实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提供的意见必须实事求是。有违规行为的，视情节轻重做出处理意见。</w:t>
      </w:r>
    </w:p>
    <w:p w:rsidR="00C4089B" w:rsidRDefault="00C4089B" w:rsidP="00C4089B">
      <w:pPr>
        <w:ind w:firstLine="63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kern w:val="0"/>
          <w:sz w:val="32"/>
          <w:szCs w:val="32"/>
        </w:rPr>
        <w:t>三十四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 w:hint="eastAsia"/>
          <w:sz w:val="32"/>
          <w:szCs w:val="32"/>
        </w:rPr>
        <w:t>参与</w:t>
      </w:r>
      <w:r>
        <w:rPr>
          <w:rFonts w:eastAsia="仿宋_GB2312"/>
          <w:sz w:val="32"/>
          <w:szCs w:val="32"/>
        </w:rPr>
        <w:t>信用评价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人员必须客观公正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秉公办事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廉洁自律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恪尽职守，不得泄露参评企业商业秘密。有违纪行为者，视其情节轻重给予警告、通报批评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取消工作资格等处理。</w:t>
      </w:r>
    </w:p>
    <w:p w:rsidR="00C4089B" w:rsidRDefault="00C4089B" w:rsidP="00C4089B">
      <w:pPr>
        <w:pStyle w:val="a3"/>
        <w:shd w:val="clear" w:color="auto" w:fill="FFFFFF"/>
        <w:spacing w:before="0" w:beforeAutospacing="0" w:after="0" w:afterAutospacing="0" w:line="380" w:lineRule="atLeast"/>
        <w:jc w:val="center"/>
        <w:rPr>
          <w:rStyle w:val="a4"/>
          <w:rFonts w:ascii="仿宋_GB2312" w:eastAsia="仿宋_GB2312"/>
        </w:rPr>
      </w:pPr>
      <w:r>
        <w:rPr>
          <w:rStyle w:val="a4"/>
          <w:rFonts w:ascii="黑体" w:eastAsia="黑体" w:hAnsi="黑体"/>
          <w:sz w:val="32"/>
          <w:szCs w:val="32"/>
        </w:rPr>
        <w:t>第</w:t>
      </w:r>
      <w:r>
        <w:rPr>
          <w:rStyle w:val="a4"/>
          <w:rFonts w:ascii="黑体" w:eastAsia="黑体" w:hAnsi="黑体" w:hint="eastAsia"/>
          <w:sz w:val="32"/>
          <w:szCs w:val="32"/>
        </w:rPr>
        <w:t>九</w:t>
      </w:r>
      <w:r>
        <w:rPr>
          <w:rStyle w:val="a4"/>
          <w:rFonts w:ascii="黑体" w:eastAsia="黑体" w:hAnsi="黑体"/>
          <w:sz w:val="32"/>
          <w:szCs w:val="32"/>
        </w:rPr>
        <w:t>章  附  则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第</w:t>
      </w:r>
      <w:r>
        <w:rPr>
          <w:rFonts w:ascii="黑体" w:eastAsia="黑体" w:hAnsi="黑体" w:cs="宋体" w:hint="eastAsia"/>
          <w:kern w:val="0"/>
          <w:sz w:val="32"/>
          <w:szCs w:val="32"/>
        </w:rPr>
        <w:t>三</w:t>
      </w:r>
      <w:r>
        <w:rPr>
          <w:rFonts w:ascii="黑体" w:eastAsia="黑体" w:hAnsi="黑体" w:cs="宋体"/>
          <w:kern w:val="0"/>
          <w:sz w:val="32"/>
          <w:szCs w:val="32"/>
        </w:rPr>
        <w:t>十五条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>本实施办法由</w:t>
      </w:r>
      <w:r>
        <w:rPr>
          <w:rFonts w:eastAsia="仿宋_GB2312" w:hint="eastAsia"/>
          <w:sz w:val="32"/>
          <w:szCs w:val="32"/>
        </w:rPr>
        <w:t>中国施工企业管理协会</w:t>
      </w:r>
      <w:r>
        <w:rPr>
          <w:rFonts w:eastAsia="仿宋_GB2312"/>
          <w:sz w:val="32"/>
          <w:szCs w:val="32"/>
        </w:rPr>
        <w:t>负责解释。</w:t>
      </w:r>
    </w:p>
    <w:p w:rsidR="00C4089B" w:rsidRDefault="00C4089B" w:rsidP="00C408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lastRenderedPageBreak/>
        <w:t>第</w:t>
      </w:r>
      <w:r>
        <w:rPr>
          <w:rFonts w:ascii="黑体" w:eastAsia="黑体" w:hAnsi="黑体" w:cs="宋体" w:hint="eastAsia"/>
          <w:kern w:val="0"/>
          <w:sz w:val="32"/>
          <w:szCs w:val="32"/>
        </w:rPr>
        <w:t>三十六</w:t>
      </w:r>
      <w:r>
        <w:rPr>
          <w:rFonts w:ascii="黑体" w:eastAsia="黑体" w:hAnsi="黑体" w:cs="宋体"/>
          <w:kern w:val="0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eastAsia="仿宋_GB2312"/>
          <w:sz w:val="32"/>
          <w:szCs w:val="32"/>
        </w:rPr>
        <w:t>本办法自发布之日起</w:t>
      </w:r>
      <w:r>
        <w:rPr>
          <w:rFonts w:eastAsia="仿宋_GB2312" w:hint="eastAsia"/>
          <w:sz w:val="32"/>
          <w:szCs w:val="32"/>
        </w:rPr>
        <w:t>施</w:t>
      </w:r>
      <w:r>
        <w:rPr>
          <w:rFonts w:eastAsia="仿宋_GB2312"/>
          <w:sz w:val="32"/>
          <w:szCs w:val="32"/>
        </w:rPr>
        <w:t>行。</w:t>
      </w:r>
    </w:p>
    <w:p w:rsidR="00C4089B" w:rsidRDefault="00C4089B" w:rsidP="00C4089B">
      <w:pPr>
        <w:spacing w:line="560" w:lineRule="exact"/>
        <w:ind w:firstLineChars="160" w:firstLine="512"/>
        <w:rPr>
          <w:rFonts w:eastAsia="仿宋_GB2312"/>
          <w:sz w:val="32"/>
        </w:rPr>
      </w:pPr>
    </w:p>
    <w:p w:rsidR="00C4089B" w:rsidRDefault="00C4089B" w:rsidP="00C4089B">
      <w:pPr>
        <w:widowControl/>
      </w:pPr>
    </w:p>
    <w:p w:rsidR="00C4089B" w:rsidRDefault="00C4089B" w:rsidP="00C4089B">
      <w:pPr>
        <w:spacing w:line="6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C4089B" w:rsidRDefault="00C4089B" w:rsidP="00C4089B">
      <w:pPr>
        <w:spacing w:line="560" w:lineRule="exact"/>
        <w:ind w:firstLineChars="160" w:firstLine="512"/>
        <w:rPr>
          <w:rFonts w:eastAsia="仿宋_GB2312"/>
          <w:sz w:val="32"/>
        </w:rPr>
      </w:pPr>
    </w:p>
    <w:p w:rsidR="0092054C" w:rsidRPr="00C4089B" w:rsidRDefault="0092054C">
      <w:bookmarkStart w:id="0" w:name="_GoBack"/>
      <w:bookmarkEnd w:id="0"/>
    </w:p>
    <w:sectPr w:rsidR="0092054C" w:rsidRPr="00C40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9B"/>
    <w:rsid w:val="0092054C"/>
    <w:rsid w:val="00C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57197-32B4-4D1A-B7D7-C3F7A1F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408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22"/>
    <w:qFormat/>
    <w:rsid w:val="00C40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2020-02-21T01:53:00Z</dcterms:created>
  <dcterms:modified xsi:type="dcterms:W3CDTF">2020-02-21T01:53:00Z</dcterms:modified>
</cp:coreProperties>
</file>