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Lines="0" w:beforeAutospacing="0" w:after="0" w:afterLines="0" w:afterAutospacing="0"/>
        <w:rPr>
          <w:rFonts w:hint="eastAsia" w:eastAsia="黑体"/>
          <w:color w:val="000000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山西省建筑施工特种作业人员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信用等级评定标准</w:t>
      </w:r>
    </w:p>
    <w:bookmarkEnd w:id="0"/>
    <w:tbl>
      <w:tblPr>
        <w:tblStyle w:val="4"/>
        <w:tblW w:w="878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784"/>
        <w:gridCol w:w="1174"/>
        <w:gridCol w:w="3663"/>
        <w:gridCol w:w="1286"/>
        <w:gridCol w:w="1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信用信息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计分标准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基本信息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基本信息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特种作业人员的特种作业操作资格证书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，并录入建筑市场监管公共服务平台相应信息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直接得分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  <w:t>能力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担任本职务年限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≤2年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不加分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2年至5年（含）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+2分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5年至10年（含）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+5分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＞10年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+10分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获奖信息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获国家级奖项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﹢5/项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同一事件按最高分值加、减分（获奖和表彰信息不分等级的按对应分值计入，分等级的二等奖计分乘以0.5，三等奖乘以0.25，优秀奖乘以0.1）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获省部级奖项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﹢3/项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获市级奖项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﹢1/项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表彰信息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受到国家表彰的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﹢5/次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受到省部级表彰的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﹢3/次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受到市级表彰的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﹢1/次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科技创新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获省部级科技成果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﹢3/项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获得市级科技成果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扣分</w:t>
            </w: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市场行为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伪造、转让、冒用特种作业操作资格证书的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证书未按照规定进行延期或者复核的，使用过期或者作废证件上岗的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未按照相关规定进行特种作业，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违章操作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未按规定参加年度安全教育培训或者继续教育的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行政管理部门通报批评的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安全事故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因过错造成工程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项目发生一般工程安全事故的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因过错造成工程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项目发生较大及以上工程安全事故的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﹣20/次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其它行为信息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未响应主管部门的政策文件要求的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行政部门依法确认的不良信息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2557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列入建筑市场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主体“黑名单”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利用虚假材料、以欺骗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等不正当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手段取得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特种作业操作资格证书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</w:t>
            </w:r>
          </w:p>
        </w:tc>
        <w:tc>
          <w:tcPr>
            <w:tcW w:w="25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直接评为D级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非法涂改、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、转让资格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受到行政处罚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受到吊销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特种作业操作资格证书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未按照相关规定进行特种作业、违章操作，造成工程项目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发生重大及以上工程安全事故，或1年内累计发生2次较大及以上工程安全事故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超出资格证书操作类别执业的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2年内违章操作记录达3次（含3次）以上的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建部门责令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、行政处罚、通报批评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处理的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，且无正当理由拒不执行的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被司法机关、有关行政部门依法确认，列入严重失信行为“黑名单”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A5DA1"/>
    <w:rsid w:val="5B7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2019-08-10T02:28:00Z</dcterms:created>
  <dc:creator>lenovo</dc:creator>
  <cp:lastModifiedBy>z</cp:lastModifiedBy>
  <dcterms:modified xsi:type="dcterms:W3CDTF">2019-09-26T09:17:09Z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