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C03" w:rsidRPr="006F1C03" w:rsidRDefault="006F1C03" w:rsidP="006F1C03">
      <w:pPr>
        <w:autoSpaceDE w:val="0"/>
        <w:spacing w:line="700" w:lineRule="exact"/>
        <w:jc w:val="center"/>
        <w:rPr>
          <w:rFonts w:ascii="方正小标宋简体" w:eastAsia="方正小标宋简体" w:hAnsi="宋体" w:hint="eastAsia"/>
          <w:sz w:val="44"/>
          <w:szCs w:val="44"/>
        </w:rPr>
      </w:pPr>
      <w:r w:rsidRPr="006F1C03">
        <w:rPr>
          <w:rFonts w:ascii="方正小标宋简体" w:eastAsia="方正小标宋简体" w:hAnsi="宋体" w:hint="eastAsia"/>
          <w:sz w:val="44"/>
          <w:szCs w:val="44"/>
        </w:rPr>
        <w:t>2018年温州市建筑工地扬尘整治工作方案</w:t>
      </w:r>
    </w:p>
    <w:p w:rsidR="006F1C03" w:rsidRDefault="006F1C03" w:rsidP="006F1C03">
      <w:pPr>
        <w:autoSpaceDE w:val="0"/>
        <w:spacing w:line="560" w:lineRule="exact"/>
        <w:rPr>
          <w:rFonts w:ascii="仿宋_GB2312" w:eastAsia="仿宋_GB2312" w:hAnsi="宋体" w:hint="eastAsia"/>
          <w:sz w:val="32"/>
          <w:szCs w:val="32"/>
        </w:rPr>
      </w:pPr>
      <w:r>
        <w:rPr>
          <w:rFonts w:ascii="仿宋_GB2312" w:eastAsia="仿宋_GB2312" w:hAnsi="宋体" w:hint="eastAsia"/>
          <w:sz w:val="32"/>
          <w:szCs w:val="32"/>
        </w:rPr>
        <w:t xml:space="preserve"> </w:t>
      </w:r>
    </w:p>
    <w:p w:rsidR="006F1C03" w:rsidRDefault="006F1C03" w:rsidP="006F1C03">
      <w:pPr>
        <w:autoSpaceDE w:val="0"/>
        <w:spacing w:line="540" w:lineRule="exact"/>
        <w:rPr>
          <w:rFonts w:ascii="仿宋_GB2312" w:eastAsia="仿宋_GB2312" w:hAnsi="宋体" w:hint="eastAsia"/>
          <w:sz w:val="32"/>
          <w:szCs w:val="32"/>
        </w:rPr>
      </w:pPr>
      <w:r>
        <w:rPr>
          <w:rFonts w:ascii="仿宋_GB2312" w:eastAsia="仿宋_GB2312" w:hAnsi="宋体" w:hint="eastAsia"/>
          <w:sz w:val="32"/>
          <w:szCs w:val="32"/>
        </w:rPr>
        <w:tab/>
        <w:t xml:space="preserve"> 为进一步加强我市建筑工地扬尘控制工作，切实落实《温州市贯彻落实中央环境保护督察反馈意见整改方案》中提出的建筑施工领域存在着“扬尘防治的执法检查力度不够，相应的处罚案件不多”等问题，补齐在国家环保督查中所暴露出的短板，提升建筑工地施工标准化管理水平，经研究决定，组织开展全市建筑工地扬尘整治专项行动，特制定本方案。</w:t>
      </w:r>
    </w:p>
    <w:p w:rsidR="006F1C03" w:rsidRPr="006F1C03" w:rsidRDefault="006F1C03" w:rsidP="006F1C03">
      <w:pPr>
        <w:autoSpaceDE w:val="0"/>
        <w:spacing w:line="540" w:lineRule="exact"/>
        <w:ind w:firstLineChars="147" w:firstLine="470"/>
        <w:rPr>
          <w:rFonts w:ascii="黑体" w:eastAsia="黑体" w:hAnsi="黑体" w:hint="eastAsia"/>
          <w:bCs/>
          <w:sz w:val="32"/>
          <w:szCs w:val="32"/>
        </w:rPr>
      </w:pPr>
      <w:r w:rsidRPr="006F1C03">
        <w:rPr>
          <w:rFonts w:ascii="黑体" w:eastAsia="黑体" w:hAnsi="黑体" w:hint="eastAsia"/>
          <w:bCs/>
          <w:sz w:val="32"/>
          <w:szCs w:val="32"/>
        </w:rPr>
        <w:t>一、工作目标</w:t>
      </w:r>
    </w:p>
    <w:p w:rsidR="006F1C03" w:rsidRDefault="006F1C03" w:rsidP="006F1C03">
      <w:pPr>
        <w:autoSpaceDE w:val="0"/>
        <w:spacing w:line="540" w:lineRule="exact"/>
        <w:ind w:firstLineChars="150" w:firstLine="480"/>
        <w:rPr>
          <w:rFonts w:ascii="仿宋_GB2312" w:eastAsia="仿宋_GB2312" w:hAnsi="宋体" w:hint="eastAsia"/>
          <w:sz w:val="32"/>
          <w:szCs w:val="32"/>
        </w:rPr>
      </w:pPr>
      <w:r>
        <w:rPr>
          <w:rFonts w:ascii="仿宋_GB2312" w:eastAsia="仿宋_GB2312" w:hAnsi="宋体" w:hint="eastAsia"/>
          <w:sz w:val="32"/>
          <w:szCs w:val="32"/>
        </w:rPr>
        <w:t>通过集中开展建筑工地扬尘污染整治工作，建立完善扬尘污染防治长效管理机制，督促各方主体认真贯彻落实扬尘防治工作要求，采取有效措施，加大监督执法力度，坚决打击该领域违法行为，有效减少我市建筑工地扬尘污染，全面提升工地文明施工标准化管理水平。</w:t>
      </w:r>
    </w:p>
    <w:p w:rsidR="006F1C03" w:rsidRPr="006F1C03" w:rsidRDefault="006F1C03" w:rsidP="006F1C03">
      <w:pPr>
        <w:autoSpaceDE w:val="0"/>
        <w:spacing w:line="540" w:lineRule="exact"/>
        <w:rPr>
          <w:rFonts w:ascii="黑体" w:eastAsia="黑体" w:hAnsi="黑体" w:hint="eastAsia"/>
          <w:bCs/>
          <w:sz w:val="32"/>
          <w:szCs w:val="32"/>
        </w:rPr>
      </w:pPr>
      <w:r>
        <w:rPr>
          <w:rFonts w:ascii="仿宋_GB2312" w:eastAsia="仿宋_GB2312" w:hAnsi="宋体" w:hint="eastAsia"/>
          <w:sz w:val="32"/>
          <w:szCs w:val="32"/>
        </w:rPr>
        <w:t xml:space="preserve">   </w:t>
      </w:r>
      <w:r w:rsidRPr="006F1C03">
        <w:rPr>
          <w:rFonts w:ascii="黑体" w:eastAsia="黑体" w:hAnsi="黑体" w:hint="eastAsia"/>
          <w:bCs/>
          <w:sz w:val="32"/>
          <w:szCs w:val="32"/>
        </w:rPr>
        <w:t>二、整治范围</w:t>
      </w:r>
    </w:p>
    <w:p w:rsidR="006F1C03" w:rsidRDefault="006F1C03" w:rsidP="006F1C03">
      <w:pPr>
        <w:autoSpaceDE w:val="0"/>
        <w:spacing w:line="540" w:lineRule="exact"/>
        <w:rPr>
          <w:rFonts w:ascii="仿宋_GB2312" w:eastAsia="仿宋_GB2312" w:hAnsi="宋体" w:hint="eastAsia"/>
          <w:sz w:val="32"/>
          <w:szCs w:val="32"/>
        </w:rPr>
      </w:pPr>
      <w:r>
        <w:rPr>
          <w:rFonts w:ascii="宋体" w:hAnsi="宋体" w:hint="eastAsia"/>
          <w:b/>
          <w:bCs/>
          <w:sz w:val="32"/>
          <w:szCs w:val="32"/>
        </w:rPr>
        <w:t xml:space="preserve">   </w:t>
      </w:r>
      <w:r>
        <w:rPr>
          <w:rFonts w:ascii="仿宋_GB2312" w:eastAsia="仿宋_GB2312" w:hAnsi="宋体" w:hint="eastAsia"/>
          <w:sz w:val="32"/>
          <w:szCs w:val="32"/>
        </w:rPr>
        <w:t>全市所有建筑工地。</w:t>
      </w:r>
    </w:p>
    <w:p w:rsidR="006F1C03" w:rsidRPr="006F1C03" w:rsidRDefault="006F1C03" w:rsidP="006F1C03">
      <w:pPr>
        <w:autoSpaceDE w:val="0"/>
        <w:spacing w:line="540" w:lineRule="exact"/>
        <w:rPr>
          <w:rFonts w:ascii="黑体" w:eastAsia="黑体" w:hAnsi="黑体" w:hint="eastAsia"/>
          <w:bCs/>
          <w:sz w:val="32"/>
          <w:szCs w:val="32"/>
        </w:rPr>
      </w:pPr>
      <w:r>
        <w:rPr>
          <w:rFonts w:ascii="仿宋_GB2312" w:eastAsia="仿宋_GB2312" w:hAnsi="宋体" w:hint="eastAsia"/>
          <w:sz w:val="32"/>
          <w:szCs w:val="32"/>
        </w:rPr>
        <w:t xml:space="preserve"> </w:t>
      </w:r>
      <w:r w:rsidRPr="006F1C03">
        <w:rPr>
          <w:rFonts w:ascii="黑体" w:eastAsia="黑体" w:hAnsi="黑体" w:hint="eastAsia"/>
          <w:sz w:val="32"/>
          <w:szCs w:val="32"/>
        </w:rPr>
        <w:t xml:space="preserve">  </w:t>
      </w:r>
      <w:r w:rsidRPr="006F1C03">
        <w:rPr>
          <w:rFonts w:ascii="黑体" w:eastAsia="黑体" w:hAnsi="黑体" w:hint="eastAsia"/>
          <w:bCs/>
          <w:sz w:val="32"/>
          <w:szCs w:val="32"/>
        </w:rPr>
        <w:t>三、具体标准及要求</w:t>
      </w:r>
    </w:p>
    <w:p w:rsidR="006F1C03" w:rsidRDefault="006F1C03" w:rsidP="006F1C03">
      <w:pPr>
        <w:autoSpaceDE w:val="0"/>
        <w:spacing w:line="540" w:lineRule="exact"/>
        <w:ind w:firstLineChars="150" w:firstLine="480"/>
        <w:rPr>
          <w:rFonts w:ascii="仿宋_GB2312" w:eastAsia="仿宋_GB2312" w:hAnsi="宋体" w:hint="eastAsia"/>
          <w:sz w:val="32"/>
          <w:szCs w:val="32"/>
        </w:rPr>
      </w:pPr>
      <w:r>
        <w:rPr>
          <w:rFonts w:ascii="仿宋_GB2312" w:eastAsia="仿宋_GB2312" w:hAnsi="宋体" w:hint="eastAsia"/>
          <w:sz w:val="32"/>
          <w:szCs w:val="32"/>
        </w:rPr>
        <w:t>（一）城市建成区建筑面积达5000平方米以上的建筑工地，在施工现场必须配备运用降尘喷雾系统和雾炮等降尘新设施；</w:t>
      </w:r>
    </w:p>
    <w:p w:rsidR="006F1C03" w:rsidRDefault="006F1C03" w:rsidP="006F1C03">
      <w:pPr>
        <w:pStyle w:val="1"/>
        <w:autoSpaceDE w:val="0"/>
        <w:spacing w:line="540" w:lineRule="exact"/>
        <w:ind w:firstLineChars="0" w:firstLine="0"/>
        <w:rPr>
          <w:rFonts w:ascii="仿宋_GB2312" w:eastAsia="仿宋_GB2312" w:hAnsi="宋体" w:hint="eastAsia"/>
          <w:sz w:val="32"/>
          <w:szCs w:val="32"/>
        </w:rPr>
      </w:pPr>
      <w:r>
        <w:rPr>
          <w:rFonts w:ascii="仿宋_GB2312" w:eastAsia="仿宋_GB2312" w:hAnsi="宋体" w:hint="eastAsia"/>
          <w:sz w:val="32"/>
          <w:szCs w:val="32"/>
        </w:rPr>
        <w:t xml:space="preserve">   （二）房屋建筑工程施工现场四周要设置连续围挡，围挡应坚固、稳定、整洁、美观，应选用砌体、双层夹芯彩钢板等硬质材料。重要区域和主要路段范围内的房建工程围挡高度不低于2.5m，一般路段围挡高度不低于1.8m；</w:t>
      </w:r>
    </w:p>
    <w:p w:rsidR="006F1C03" w:rsidRDefault="006F1C03" w:rsidP="006F1C03">
      <w:pPr>
        <w:pStyle w:val="1"/>
        <w:autoSpaceDE w:val="0"/>
        <w:spacing w:line="540" w:lineRule="exact"/>
        <w:ind w:firstLineChars="150" w:firstLine="480"/>
        <w:rPr>
          <w:rFonts w:ascii="仿宋_GB2312" w:eastAsia="仿宋_GB2312" w:hAnsi="宋体" w:hint="eastAsia"/>
          <w:sz w:val="32"/>
          <w:szCs w:val="32"/>
        </w:rPr>
      </w:pPr>
      <w:r>
        <w:rPr>
          <w:rFonts w:ascii="仿宋_GB2312" w:eastAsia="仿宋_GB2312" w:hAnsi="宋体" w:hint="eastAsia"/>
          <w:sz w:val="32"/>
          <w:szCs w:val="32"/>
        </w:rPr>
        <w:t>（三）场内主要道路、加工场地、生活区、工地出入口</w:t>
      </w:r>
      <w:r>
        <w:rPr>
          <w:rFonts w:ascii="仿宋_GB2312" w:eastAsia="仿宋_GB2312" w:hAnsi="宋体" w:hint="eastAsia"/>
          <w:sz w:val="32"/>
          <w:szCs w:val="32"/>
        </w:rPr>
        <w:lastRenderedPageBreak/>
        <w:t>必须进行砼硬化处理，强度、厚度、宽度应满足安全通行、施工作业和卫生保洁的需要。施工现场道路应做到畅通、平坦、整洁、无散落物；</w:t>
      </w:r>
    </w:p>
    <w:p w:rsidR="006F1C03" w:rsidRDefault="006F1C03" w:rsidP="006F1C03">
      <w:pPr>
        <w:pStyle w:val="1"/>
        <w:autoSpaceDE w:val="0"/>
        <w:spacing w:line="540" w:lineRule="exact"/>
        <w:ind w:firstLineChars="150" w:firstLine="480"/>
        <w:rPr>
          <w:rFonts w:ascii="仿宋_GB2312" w:eastAsia="仿宋_GB2312" w:hAnsi="宋体" w:hint="eastAsia"/>
          <w:sz w:val="32"/>
          <w:szCs w:val="32"/>
        </w:rPr>
      </w:pPr>
      <w:r>
        <w:rPr>
          <w:rFonts w:ascii="仿宋_GB2312" w:eastAsia="仿宋_GB2312" w:hAnsi="宋体" w:hint="eastAsia"/>
          <w:sz w:val="32"/>
          <w:szCs w:val="32"/>
        </w:rPr>
        <w:t>（四）施工区出入口应设置车辆冲洗设施及配套的排水沟、沉淀池。车辆出场前必须冲洗干净确保车轮、车身不带泥，避免污染城市道路与城市排水设施；</w:t>
      </w:r>
    </w:p>
    <w:p w:rsidR="006F1C03" w:rsidRDefault="006F1C03" w:rsidP="006F1C03">
      <w:pPr>
        <w:pStyle w:val="1"/>
        <w:autoSpaceDE w:val="0"/>
        <w:spacing w:line="540" w:lineRule="exact"/>
        <w:ind w:firstLineChars="150" w:firstLine="480"/>
        <w:rPr>
          <w:rFonts w:ascii="仿宋_GB2312" w:eastAsia="仿宋_GB2312" w:hAnsi="宋体" w:hint="eastAsia"/>
          <w:sz w:val="32"/>
          <w:szCs w:val="32"/>
        </w:rPr>
      </w:pPr>
      <w:r>
        <w:rPr>
          <w:rFonts w:ascii="仿宋_GB2312" w:eastAsia="仿宋_GB2312" w:hAnsi="宋体" w:hint="eastAsia"/>
          <w:sz w:val="32"/>
          <w:szCs w:val="32"/>
        </w:rPr>
        <w:t>（五）施工现场应设置良好的排水网络系统，保证排水畅通，场地内不得积水，施工污水经沉淀后方可排入市政污水管网，禁止将泥浆、污水、废水等直接排入河道或下水道内。产生大量泥浆的施工作业时，应当设置泥浆池、泥浆沟，确保泥浆不外溢；</w:t>
      </w:r>
    </w:p>
    <w:p w:rsidR="006F1C03" w:rsidRDefault="006F1C03" w:rsidP="006F1C03">
      <w:pPr>
        <w:pStyle w:val="1"/>
        <w:autoSpaceDE w:val="0"/>
        <w:spacing w:line="540" w:lineRule="exact"/>
        <w:ind w:firstLineChars="150" w:firstLine="480"/>
        <w:rPr>
          <w:rFonts w:ascii="仿宋_GB2312" w:eastAsia="仿宋_GB2312" w:hAnsi="宋体" w:hint="eastAsia"/>
          <w:sz w:val="32"/>
          <w:szCs w:val="32"/>
        </w:rPr>
      </w:pPr>
      <w:r>
        <w:rPr>
          <w:rFonts w:ascii="仿宋_GB2312" w:eastAsia="仿宋_GB2312" w:hAnsi="宋体" w:hint="eastAsia"/>
          <w:sz w:val="32"/>
          <w:szCs w:val="32"/>
        </w:rPr>
        <w:t>（六）存放材料、料具、构配件等场地必须平整坚实。对易产生扬尘污染的水泥、灰土、砂石等物料，必须采取遮盖、封闭、洒水等措施控制扬尘；</w:t>
      </w:r>
    </w:p>
    <w:p w:rsidR="006F1C03" w:rsidRDefault="006F1C03" w:rsidP="006F1C03">
      <w:pPr>
        <w:pStyle w:val="1"/>
        <w:autoSpaceDE w:val="0"/>
        <w:spacing w:line="540" w:lineRule="exact"/>
        <w:ind w:firstLineChars="150" w:firstLine="480"/>
        <w:rPr>
          <w:rFonts w:ascii="仿宋_GB2312" w:eastAsia="仿宋_GB2312" w:hAnsi="宋体" w:hint="eastAsia"/>
          <w:sz w:val="32"/>
          <w:szCs w:val="32"/>
        </w:rPr>
      </w:pPr>
      <w:r>
        <w:rPr>
          <w:rFonts w:ascii="仿宋_GB2312" w:eastAsia="仿宋_GB2312" w:hAnsi="宋体" w:hint="eastAsia"/>
          <w:sz w:val="32"/>
          <w:szCs w:val="32"/>
        </w:rPr>
        <w:t>（七）场内裸露的场地、48小时以上不外运临时堆放的土方应采取覆盖、固化或绿化等措施,防止扬尘；</w:t>
      </w:r>
    </w:p>
    <w:p w:rsidR="006F1C03" w:rsidRDefault="006F1C03" w:rsidP="006F1C03">
      <w:pPr>
        <w:pStyle w:val="1"/>
        <w:autoSpaceDE w:val="0"/>
        <w:spacing w:line="540" w:lineRule="exact"/>
        <w:ind w:firstLineChars="150" w:firstLine="480"/>
        <w:rPr>
          <w:rFonts w:ascii="仿宋_GB2312" w:eastAsia="仿宋_GB2312" w:hAnsi="宋体" w:hint="eastAsia"/>
          <w:sz w:val="32"/>
          <w:szCs w:val="32"/>
        </w:rPr>
      </w:pPr>
      <w:r>
        <w:rPr>
          <w:rFonts w:ascii="仿宋_GB2312" w:eastAsia="仿宋_GB2312" w:hAnsi="宋体" w:hint="eastAsia"/>
          <w:sz w:val="32"/>
          <w:szCs w:val="32"/>
        </w:rPr>
        <w:t>（八）专人负责施工场地洒水、清扫，设置密封式垃圾站，做到施工垃圾和生活垃圾分类存放，并及时清运，保持施工场地环境卫生、整洁；</w:t>
      </w:r>
    </w:p>
    <w:p w:rsidR="006F1C03" w:rsidRDefault="006F1C03" w:rsidP="006F1C03">
      <w:pPr>
        <w:pStyle w:val="1"/>
        <w:autoSpaceDE w:val="0"/>
        <w:spacing w:line="540" w:lineRule="exact"/>
        <w:ind w:firstLineChars="150" w:firstLine="480"/>
        <w:rPr>
          <w:rFonts w:ascii="仿宋_GB2312" w:eastAsia="仿宋_GB2312" w:hAnsi="宋体" w:hint="eastAsia"/>
          <w:sz w:val="32"/>
          <w:szCs w:val="32"/>
        </w:rPr>
      </w:pPr>
      <w:r>
        <w:rPr>
          <w:rFonts w:ascii="仿宋_GB2312" w:eastAsia="仿宋_GB2312" w:hAnsi="宋体" w:hint="eastAsia"/>
          <w:sz w:val="32"/>
          <w:szCs w:val="32"/>
        </w:rPr>
        <w:t>（九）严禁焚烧各类废弃物；</w:t>
      </w:r>
    </w:p>
    <w:p w:rsidR="006F1C03" w:rsidRDefault="006F1C03" w:rsidP="006F1C03">
      <w:pPr>
        <w:pStyle w:val="1"/>
        <w:autoSpaceDE w:val="0"/>
        <w:spacing w:line="540" w:lineRule="exact"/>
        <w:ind w:firstLineChars="150" w:firstLine="480"/>
        <w:rPr>
          <w:rFonts w:ascii="仿宋_GB2312" w:eastAsia="仿宋_GB2312" w:hAnsi="宋体" w:hint="eastAsia"/>
          <w:sz w:val="32"/>
          <w:szCs w:val="32"/>
        </w:rPr>
      </w:pPr>
      <w:r>
        <w:rPr>
          <w:rFonts w:ascii="仿宋_GB2312" w:eastAsia="仿宋_GB2312" w:hAnsi="宋体" w:hint="eastAsia"/>
          <w:sz w:val="32"/>
          <w:szCs w:val="32"/>
        </w:rPr>
        <w:t>（十）房屋建筑工程外脚手架外侧应当采用密目式安全网封闭，防止和减少灰尘外溢。在进行楼层、高处平台建筑垃圾废料清理，基础围护梁拆除和密目网拆除时，应当采用封闭式临时专用道或容器吊运，并采取洒水等防尘降尘措施；严禁抛掷、扬撒；</w:t>
      </w:r>
    </w:p>
    <w:p w:rsidR="006F1C03" w:rsidRDefault="006F1C03" w:rsidP="006F1C03">
      <w:pPr>
        <w:pStyle w:val="1"/>
        <w:autoSpaceDE w:val="0"/>
        <w:spacing w:line="540" w:lineRule="exact"/>
        <w:ind w:firstLineChars="150" w:firstLine="480"/>
        <w:rPr>
          <w:rFonts w:ascii="仿宋_GB2312" w:eastAsia="仿宋_GB2312" w:hAnsi="宋体" w:hint="eastAsia"/>
          <w:sz w:val="32"/>
          <w:szCs w:val="32"/>
        </w:rPr>
      </w:pPr>
      <w:r>
        <w:rPr>
          <w:rFonts w:ascii="仿宋_GB2312" w:eastAsia="仿宋_GB2312" w:hAnsi="宋体" w:hint="eastAsia"/>
          <w:sz w:val="32"/>
          <w:szCs w:val="32"/>
        </w:rPr>
        <w:lastRenderedPageBreak/>
        <w:t>（十一）使用中小型粉碎、切割、锯刨等机械设备进行石材、木制品等切割加工时应采取防止扬尘措施；</w:t>
      </w:r>
    </w:p>
    <w:p w:rsidR="006F1C03" w:rsidRDefault="006F1C03" w:rsidP="006F1C03">
      <w:pPr>
        <w:pStyle w:val="1"/>
        <w:autoSpaceDE w:val="0"/>
        <w:spacing w:line="540" w:lineRule="exact"/>
        <w:ind w:firstLineChars="150" w:firstLine="480"/>
        <w:rPr>
          <w:rFonts w:ascii="仿宋_GB2312" w:eastAsia="仿宋_GB2312" w:hAnsi="宋体" w:hint="eastAsia"/>
          <w:sz w:val="32"/>
          <w:szCs w:val="32"/>
        </w:rPr>
      </w:pPr>
      <w:r>
        <w:rPr>
          <w:rFonts w:ascii="仿宋_GB2312" w:eastAsia="仿宋_GB2312" w:hAnsi="宋体" w:hint="eastAsia"/>
          <w:sz w:val="32"/>
          <w:szCs w:val="32"/>
        </w:rPr>
        <w:t>（十二）建设、施工单位应把建筑渣土、泥浆运输处置委托给有建筑垃圾经营服务资格的单位。土方、渣土外运必须采用密闭式运输车或采取覆盖措施，严禁抛洒滴漏；</w:t>
      </w:r>
    </w:p>
    <w:p w:rsidR="006F1C03" w:rsidRDefault="006F1C03" w:rsidP="006F1C03">
      <w:pPr>
        <w:pStyle w:val="1"/>
        <w:autoSpaceDE w:val="0"/>
        <w:spacing w:line="540" w:lineRule="exact"/>
        <w:ind w:firstLineChars="230" w:firstLine="736"/>
        <w:rPr>
          <w:rFonts w:ascii="仿宋_GB2312" w:eastAsia="仿宋_GB2312" w:hAnsi="宋体" w:hint="eastAsia"/>
          <w:b/>
          <w:bCs/>
          <w:sz w:val="32"/>
          <w:szCs w:val="32"/>
        </w:rPr>
      </w:pPr>
      <w:r>
        <w:rPr>
          <w:rFonts w:ascii="仿宋_GB2312" w:eastAsia="仿宋_GB2312" w:hAnsi="宋体" w:hint="eastAsia"/>
          <w:sz w:val="32"/>
          <w:szCs w:val="32"/>
        </w:rPr>
        <w:t>（十三）按规定使用预拌砂浆、混凝土，禁止现场搅拌，因客观原因确需现场搅拌的，应当依法报经散装水泥管理机构批准，并应采取封闭、降尘措施。</w:t>
      </w:r>
    </w:p>
    <w:p w:rsidR="006F1C03" w:rsidRPr="006F1C03" w:rsidRDefault="006F1C03" w:rsidP="006F1C03">
      <w:pPr>
        <w:pStyle w:val="1"/>
        <w:autoSpaceDE w:val="0"/>
        <w:spacing w:line="540" w:lineRule="exact"/>
        <w:ind w:firstLineChars="230" w:firstLine="736"/>
        <w:rPr>
          <w:rFonts w:ascii="黑体" w:eastAsia="黑体" w:hAnsi="黑体" w:hint="eastAsia"/>
          <w:bCs/>
          <w:sz w:val="32"/>
          <w:szCs w:val="32"/>
        </w:rPr>
      </w:pPr>
      <w:r w:rsidRPr="006F1C03">
        <w:rPr>
          <w:rFonts w:ascii="黑体" w:eastAsia="黑体" w:hAnsi="黑体" w:hint="eastAsia"/>
          <w:bCs/>
          <w:sz w:val="32"/>
          <w:szCs w:val="32"/>
        </w:rPr>
        <w:t>四、工作安排</w:t>
      </w:r>
    </w:p>
    <w:p w:rsidR="006F1C03" w:rsidRDefault="006F1C03" w:rsidP="006F1C03">
      <w:pPr>
        <w:pStyle w:val="1"/>
        <w:autoSpaceDE w:val="0"/>
        <w:spacing w:line="540" w:lineRule="exact"/>
        <w:ind w:firstLineChars="230" w:firstLine="736"/>
        <w:rPr>
          <w:rFonts w:ascii="仿宋_GB2312" w:eastAsia="仿宋_GB2312" w:hAnsi="宋体" w:hint="eastAsia"/>
          <w:sz w:val="32"/>
          <w:szCs w:val="32"/>
        </w:rPr>
      </w:pPr>
      <w:r w:rsidRPr="006F1C03">
        <w:rPr>
          <w:rFonts w:ascii="楷体_GB2312" w:eastAsia="楷体_GB2312" w:hAnsi="宋体" w:hint="eastAsia"/>
          <w:sz w:val="32"/>
          <w:szCs w:val="32"/>
        </w:rPr>
        <w:t>（一）部署启动阶段（2018年2月上旬前）。</w:t>
      </w:r>
      <w:r>
        <w:rPr>
          <w:rFonts w:ascii="仿宋_GB2312" w:eastAsia="仿宋_GB2312" w:hAnsi="宋体" w:hint="eastAsia"/>
          <w:sz w:val="32"/>
          <w:szCs w:val="32"/>
        </w:rPr>
        <w:t>各地建设行政主管部门要结合本辖区建筑工地实际情况，对照扬尘整治工作要求，制定相应的整治工作方案，做好工作部署。各建设、监理施工企业要组织对本企业各工程项目进行逐一检查，按照标准要求，对扬尘治理工作情况进行自查自纠，达不到要求的立即落实整改。</w:t>
      </w:r>
    </w:p>
    <w:p w:rsidR="006F1C03" w:rsidRDefault="006F1C03" w:rsidP="006F1C03">
      <w:pPr>
        <w:pStyle w:val="1"/>
        <w:autoSpaceDE w:val="0"/>
        <w:spacing w:line="540" w:lineRule="exact"/>
        <w:ind w:firstLineChars="230" w:firstLine="736"/>
        <w:rPr>
          <w:rFonts w:ascii="仿宋_GB2312" w:eastAsia="仿宋_GB2312" w:hAnsi="宋体" w:hint="eastAsia"/>
          <w:sz w:val="32"/>
          <w:szCs w:val="32"/>
        </w:rPr>
      </w:pPr>
      <w:r w:rsidRPr="006F1C03">
        <w:rPr>
          <w:rFonts w:ascii="楷体_GB2312" w:eastAsia="楷体_GB2312" w:hAnsi="宋体" w:hint="eastAsia"/>
          <w:sz w:val="32"/>
          <w:szCs w:val="32"/>
        </w:rPr>
        <w:t>（二）检查督导阶段（2018年2月中旬至6月上旬）。</w:t>
      </w:r>
      <w:r>
        <w:rPr>
          <w:rFonts w:ascii="仿宋_GB2312" w:eastAsia="仿宋_GB2312" w:hAnsi="宋体" w:hint="eastAsia"/>
          <w:sz w:val="32"/>
          <w:szCs w:val="32"/>
        </w:rPr>
        <w:t>各地建设行政主管部门要在企业、项目部自查自纠的基础上对辖区内开展全面检查，对检查中发现的问题要立即督促企业落实整改，整改不到位、不及时或拒不整改的给予责任企业、个人予以处罚。我委将成立督查组定期对各地活动开展情况进行查。</w:t>
      </w:r>
    </w:p>
    <w:p w:rsidR="006F1C03" w:rsidRDefault="006F1C03" w:rsidP="006F1C03">
      <w:pPr>
        <w:pStyle w:val="1"/>
        <w:autoSpaceDE w:val="0"/>
        <w:spacing w:line="540" w:lineRule="exact"/>
        <w:ind w:firstLineChars="230" w:firstLine="736"/>
        <w:rPr>
          <w:rFonts w:ascii="仿宋_GB2312" w:eastAsia="仿宋_GB2312" w:hAnsi="宋体" w:hint="eastAsia"/>
          <w:sz w:val="32"/>
          <w:szCs w:val="32"/>
        </w:rPr>
      </w:pPr>
      <w:r w:rsidRPr="006F1C03">
        <w:rPr>
          <w:rFonts w:ascii="楷体_GB2312" w:eastAsia="楷体_GB2312" w:hAnsi="宋体" w:hint="eastAsia"/>
          <w:sz w:val="32"/>
          <w:szCs w:val="32"/>
        </w:rPr>
        <w:t>（三）总结提高阶段（2018年6月底前）。</w:t>
      </w:r>
      <w:r>
        <w:rPr>
          <w:rFonts w:ascii="仿宋_GB2312" w:eastAsia="仿宋_GB2312" w:hAnsi="宋体" w:hint="eastAsia"/>
          <w:sz w:val="32"/>
          <w:szCs w:val="32"/>
        </w:rPr>
        <w:t>各地建设行政主管部门要对建筑工地扬尘整治工作进行全面深入总结，认真梳理存在的问题，改进和完善管理举措。</w:t>
      </w:r>
    </w:p>
    <w:p w:rsidR="006F1C03" w:rsidRPr="006F1C03" w:rsidRDefault="006F1C03" w:rsidP="006F1C03">
      <w:pPr>
        <w:autoSpaceDE w:val="0"/>
        <w:spacing w:line="540" w:lineRule="exact"/>
        <w:ind w:firstLineChars="200" w:firstLine="640"/>
        <w:rPr>
          <w:rFonts w:ascii="黑体" w:eastAsia="黑体" w:hAnsi="黑体" w:hint="eastAsia"/>
          <w:bCs/>
          <w:sz w:val="32"/>
          <w:szCs w:val="32"/>
        </w:rPr>
      </w:pPr>
      <w:r w:rsidRPr="006F1C03">
        <w:rPr>
          <w:rFonts w:ascii="黑体" w:eastAsia="黑体" w:hAnsi="黑体" w:hint="eastAsia"/>
          <w:bCs/>
          <w:sz w:val="32"/>
          <w:szCs w:val="32"/>
        </w:rPr>
        <w:t>五、工作要求</w:t>
      </w:r>
    </w:p>
    <w:p w:rsidR="006F1C03" w:rsidRDefault="006F1C03" w:rsidP="006F1C03">
      <w:pPr>
        <w:pStyle w:val="1"/>
        <w:autoSpaceDE w:val="0"/>
        <w:spacing w:line="540" w:lineRule="exact"/>
        <w:ind w:firstLineChars="230" w:firstLine="736"/>
        <w:rPr>
          <w:rFonts w:ascii="仿宋_GB2312" w:eastAsia="仿宋_GB2312" w:hAnsi="宋体" w:hint="eastAsia"/>
          <w:b/>
          <w:bCs/>
          <w:sz w:val="32"/>
          <w:szCs w:val="32"/>
        </w:rPr>
      </w:pPr>
      <w:r w:rsidRPr="006F1C03">
        <w:rPr>
          <w:rFonts w:ascii="楷体_GB2312" w:eastAsia="楷体_GB2312" w:hAnsi="宋体" w:hint="eastAsia"/>
          <w:sz w:val="32"/>
          <w:szCs w:val="32"/>
        </w:rPr>
        <w:lastRenderedPageBreak/>
        <w:t>（一）加强领导。</w:t>
      </w:r>
      <w:r>
        <w:rPr>
          <w:rFonts w:ascii="仿宋_GB2312" w:eastAsia="仿宋_GB2312" w:hAnsi="宋体" w:hint="eastAsia"/>
          <w:sz w:val="32"/>
          <w:szCs w:val="32"/>
        </w:rPr>
        <w:t>为使整治工作取得实效，我委将建立扬尘整治定期督导查处机制，成立专项督导组，由林伟副主任任组长、相关处室及单位负责人为成员，定期对各县（市、区）扬尘整治工作轮流展开督查，督促各地加大对违法行为的查处力度。</w:t>
      </w:r>
    </w:p>
    <w:p w:rsidR="006F1C03" w:rsidRDefault="006F1C03" w:rsidP="006F1C03">
      <w:pPr>
        <w:autoSpaceDE w:val="0"/>
        <w:spacing w:line="540" w:lineRule="exact"/>
        <w:ind w:firstLineChars="200" w:firstLine="640"/>
        <w:rPr>
          <w:rFonts w:ascii="仿宋_GB2312" w:eastAsia="仿宋_GB2312" w:hAnsi="宋体" w:hint="eastAsia"/>
          <w:color w:val="FF0000"/>
          <w:sz w:val="32"/>
          <w:szCs w:val="32"/>
        </w:rPr>
      </w:pPr>
      <w:r w:rsidRPr="006F1C03">
        <w:rPr>
          <w:rFonts w:ascii="楷体_GB2312" w:eastAsia="楷体_GB2312" w:hAnsi="宋体" w:hint="eastAsia"/>
          <w:sz w:val="32"/>
          <w:szCs w:val="32"/>
        </w:rPr>
        <w:t>（二）提高标准。</w:t>
      </w:r>
      <w:r>
        <w:rPr>
          <w:rFonts w:ascii="仿宋_GB2312" w:eastAsia="仿宋_GB2312" w:hAnsi="宋体" w:hint="eastAsia"/>
          <w:sz w:val="32"/>
          <w:szCs w:val="32"/>
        </w:rPr>
        <w:t>各地各单位要严格按照上述标准及要求落实施工现场扬尘控制工作，特别是严格落实具体标准第一条中提出的“城市建成区建筑面积达5000平方米以上的建筑工地，在施工现场必须配备运用降尘喷雾系统和雾炮等降尘新设施”要求，对达到配备运用条件但不落实降尘新措施的建筑工地，一经发现，一律予以严肃处理。</w:t>
      </w:r>
    </w:p>
    <w:p w:rsidR="006F1C03" w:rsidRDefault="006F1C03" w:rsidP="006F1C03">
      <w:pPr>
        <w:autoSpaceDE w:val="0"/>
        <w:spacing w:line="540" w:lineRule="exact"/>
        <w:ind w:firstLineChars="200" w:firstLine="640"/>
        <w:rPr>
          <w:rFonts w:ascii="仿宋_GB2312" w:eastAsia="仿宋_GB2312" w:hAnsi="宋体" w:hint="eastAsia"/>
          <w:sz w:val="32"/>
          <w:szCs w:val="32"/>
        </w:rPr>
      </w:pPr>
      <w:r>
        <w:rPr>
          <w:rFonts w:ascii="楷体_GB2312" w:eastAsia="楷体_GB2312" w:hAnsi="宋体" w:hint="eastAsia"/>
          <w:sz w:val="32"/>
          <w:szCs w:val="32"/>
        </w:rPr>
        <w:t>（三）</w:t>
      </w:r>
      <w:r w:rsidRPr="006F1C03">
        <w:rPr>
          <w:rFonts w:ascii="楷体_GB2312" w:eastAsia="楷体_GB2312" w:hAnsi="宋体" w:hint="eastAsia"/>
          <w:sz w:val="32"/>
          <w:szCs w:val="32"/>
        </w:rPr>
        <w:t>加大查处力度。</w:t>
      </w:r>
      <w:r>
        <w:rPr>
          <w:rFonts w:ascii="仿宋_GB2312" w:eastAsia="仿宋_GB2312" w:hAnsi="宋体" w:hint="eastAsia"/>
          <w:sz w:val="32"/>
          <w:szCs w:val="32"/>
        </w:rPr>
        <w:t>各地建设行政主管部门要清醒认识我市建筑施工领域扬尘防治工作暴露出的短板，针对国家环保督查组在督查反馈意见中提出“扬尘防治的执法检查力度不够，相应的处罚案件不多”的意见，加大监督执法力度，对扬尘违法行为“零容忍”，依法查处违法违规行为和相关责任主体，该处罚的处罚，该立案的立案，做好相应台账，并按月上报检查情况，上报时间为每月5日之前，上报内容见附件1，联系人：焦朱亮，联系电话：88824595，</w:t>
      </w:r>
      <w:r w:rsidRPr="006F1C03">
        <w:rPr>
          <w:rFonts w:ascii="仿宋_GB2312" w:eastAsia="仿宋_GB2312" w:hAnsi="宋体" w:hint="eastAsia"/>
          <w:sz w:val="32"/>
          <w:szCs w:val="32"/>
        </w:rPr>
        <w:t>电子邮箱：244397983@qq.com</w:t>
      </w:r>
      <w:r>
        <w:rPr>
          <w:rFonts w:ascii="仿宋_GB2312" w:eastAsia="仿宋_GB2312" w:hAnsi="宋体" w:hint="eastAsia"/>
          <w:sz w:val="32"/>
          <w:szCs w:val="32"/>
        </w:rPr>
        <w:t>。</w:t>
      </w:r>
    </w:p>
    <w:p w:rsidR="006F1C03" w:rsidRDefault="006F1C03" w:rsidP="006F1C03">
      <w:pPr>
        <w:autoSpaceDE w:val="0"/>
        <w:spacing w:line="540" w:lineRule="exact"/>
        <w:ind w:firstLineChars="200" w:firstLine="640"/>
        <w:rPr>
          <w:rFonts w:ascii="仿宋_GB2312" w:eastAsia="仿宋_GB2312" w:hAnsi="宋体" w:hint="eastAsia"/>
          <w:sz w:val="32"/>
          <w:szCs w:val="32"/>
        </w:rPr>
      </w:pPr>
    </w:p>
    <w:p w:rsidR="006F1C03" w:rsidRPr="006F1C03" w:rsidRDefault="006F1C03" w:rsidP="006F1C03">
      <w:pPr>
        <w:autoSpaceDE w:val="0"/>
        <w:spacing w:line="540" w:lineRule="exact"/>
        <w:ind w:firstLineChars="200" w:firstLine="600"/>
        <w:rPr>
          <w:rFonts w:ascii="仿宋_GB2312" w:eastAsia="仿宋_GB2312" w:hAnsi="宋体" w:hint="eastAsia"/>
          <w:spacing w:val="-10"/>
          <w:sz w:val="32"/>
          <w:szCs w:val="32"/>
        </w:rPr>
      </w:pPr>
      <w:r w:rsidRPr="006F1C03">
        <w:rPr>
          <w:rFonts w:ascii="仿宋_GB2312" w:eastAsia="仿宋_GB2312" w:hAnsi="宋体" w:hint="eastAsia"/>
          <w:spacing w:val="-10"/>
          <w:sz w:val="32"/>
          <w:szCs w:val="32"/>
        </w:rPr>
        <w:t>附件</w:t>
      </w:r>
      <w:r w:rsidRPr="006F1C03">
        <w:rPr>
          <w:rFonts w:ascii="仿宋_GB2312" w:eastAsia="仿宋_GB2312" w:hAnsi="宋体" w:hint="eastAsia"/>
          <w:spacing w:val="-10"/>
          <w:sz w:val="32"/>
          <w:szCs w:val="32"/>
        </w:rPr>
        <w:t>：</w:t>
      </w:r>
      <w:r w:rsidRPr="006F1C03">
        <w:rPr>
          <w:rFonts w:ascii="仿宋_GB2312" w:eastAsia="仿宋_GB2312" w:hAnsi="宋体" w:hint="eastAsia"/>
          <w:spacing w:val="-10"/>
          <w:sz w:val="32"/>
          <w:szCs w:val="32"/>
        </w:rPr>
        <w:t>温州市建筑工地施工扬尘整治工作进展情况统计表</w:t>
      </w:r>
    </w:p>
    <w:p w:rsidR="00DD292D" w:rsidRDefault="00DD292D">
      <w:pPr>
        <w:rPr>
          <w:rFonts w:hint="eastAsia"/>
        </w:rPr>
      </w:pPr>
    </w:p>
    <w:p w:rsidR="006F1C03" w:rsidRDefault="006F1C03">
      <w:pPr>
        <w:rPr>
          <w:rFonts w:hint="eastAsia"/>
        </w:rPr>
      </w:pPr>
    </w:p>
    <w:p w:rsidR="006F1C03" w:rsidRDefault="006F1C03">
      <w:pPr>
        <w:rPr>
          <w:rFonts w:hint="eastAsia"/>
        </w:rPr>
      </w:pPr>
    </w:p>
    <w:p w:rsidR="006F1C03" w:rsidRDefault="006F1C03">
      <w:pPr>
        <w:rPr>
          <w:rFonts w:hint="eastAsia"/>
        </w:rPr>
      </w:pPr>
    </w:p>
    <w:p w:rsidR="006F1C03" w:rsidRDefault="006F1C03">
      <w:pPr>
        <w:rPr>
          <w:rFonts w:hint="eastAsia"/>
        </w:rPr>
      </w:pPr>
    </w:p>
    <w:p w:rsidR="006F1C03" w:rsidRDefault="006F1C03">
      <w:pPr>
        <w:rPr>
          <w:rFonts w:hint="eastAsia"/>
        </w:rPr>
      </w:pPr>
    </w:p>
    <w:p w:rsidR="006F1C03" w:rsidRDefault="006F1C03">
      <w:pPr>
        <w:sectPr w:rsidR="006F1C03" w:rsidSect="00DD292D">
          <w:footerReference w:type="default" r:id="rId6"/>
          <w:pgSz w:w="11906" w:h="16838"/>
          <w:pgMar w:top="1440" w:right="1800" w:bottom="1440" w:left="1800" w:header="851" w:footer="992" w:gutter="0"/>
          <w:cols w:space="425"/>
          <w:docGrid w:type="lines" w:linePitch="312"/>
        </w:sectPr>
      </w:pPr>
    </w:p>
    <w:p w:rsidR="006F1C03" w:rsidRPr="006F1C03" w:rsidRDefault="006F1C03" w:rsidP="006F1C03">
      <w:pPr>
        <w:spacing w:line="400" w:lineRule="exact"/>
        <w:jc w:val="left"/>
        <w:rPr>
          <w:rFonts w:ascii="黑体" w:eastAsia="黑体" w:hAnsi="黑体" w:hint="eastAsia"/>
          <w:sz w:val="32"/>
          <w:szCs w:val="32"/>
        </w:rPr>
      </w:pPr>
      <w:r w:rsidRPr="006F1C03">
        <w:rPr>
          <w:rFonts w:ascii="黑体" w:eastAsia="黑体" w:hAnsi="黑体" w:hint="eastAsia"/>
          <w:sz w:val="32"/>
          <w:szCs w:val="32"/>
        </w:rPr>
        <w:lastRenderedPageBreak/>
        <w:t>附件</w:t>
      </w:r>
    </w:p>
    <w:p w:rsidR="006F1C03" w:rsidRPr="006F1C03" w:rsidRDefault="006F1C03" w:rsidP="006F1C03">
      <w:pPr>
        <w:spacing w:line="460" w:lineRule="exact"/>
        <w:jc w:val="center"/>
        <w:rPr>
          <w:rFonts w:ascii="方正小标宋简体" w:eastAsia="方正小标宋简体" w:hAnsi="宋体" w:hint="eastAsia"/>
          <w:sz w:val="36"/>
          <w:szCs w:val="36"/>
        </w:rPr>
      </w:pPr>
      <w:r w:rsidRPr="006F1C03">
        <w:rPr>
          <w:rFonts w:ascii="方正小标宋简体" w:eastAsia="方正小标宋简体" w:hAnsi="宋体" w:hint="eastAsia"/>
          <w:sz w:val="36"/>
          <w:szCs w:val="36"/>
        </w:rPr>
        <w:t>温州市建筑工地施工扬尘整治工作进展情况统计表</w:t>
      </w:r>
    </w:p>
    <w:p w:rsidR="006F1C03" w:rsidRPr="006F1C03" w:rsidRDefault="006F1C03" w:rsidP="006F1C03">
      <w:pPr>
        <w:jc w:val="left"/>
        <w:rPr>
          <w:rFonts w:ascii="仿宋_GB2312" w:eastAsia="仿宋_GB2312" w:hAnsi="宋体"/>
          <w:sz w:val="24"/>
        </w:rPr>
      </w:pPr>
    </w:p>
    <w:tbl>
      <w:tblPr>
        <w:tblpPr w:leftFromText="180" w:rightFromText="180" w:vertAnchor="page" w:horzAnchor="margin" w:tblpY="3316"/>
        <w:tblW w:w="14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
        <w:gridCol w:w="1194"/>
        <w:gridCol w:w="1559"/>
        <w:gridCol w:w="1530"/>
        <w:gridCol w:w="1111"/>
        <w:gridCol w:w="1052"/>
        <w:gridCol w:w="1126"/>
        <w:gridCol w:w="942"/>
        <w:gridCol w:w="1134"/>
        <w:gridCol w:w="1130"/>
        <w:gridCol w:w="1134"/>
        <w:gridCol w:w="1296"/>
      </w:tblGrid>
      <w:tr w:rsidR="006F1C03" w:rsidTr="006F1C03">
        <w:trPr>
          <w:trHeight w:val="839"/>
        </w:trPr>
        <w:tc>
          <w:tcPr>
            <w:tcW w:w="1041" w:type="dxa"/>
            <w:vAlign w:val="center"/>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地  区</w:t>
            </w:r>
          </w:p>
        </w:tc>
        <w:tc>
          <w:tcPr>
            <w:tcW w:w="1194" w:type="dxa"/>
            <w:vAlign w:val="center"/>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现有工地</w:t>
            </w:r>
          </w:p>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（个）</w:t>
            </w:r>
          </w:p>
        </w:tc>
        <w:tc>
          <w:tcPr>
            <w:tcW w:w="1559" w:type="dxa"/>
            <w:vAlign w:val="center"/>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现有喷淋、雾炮工地（个）</w:t>
            </w:r>
          </w:p>
        </w:tc>
        <w:tc>
          <w:tcPr>
            <w:tcW w:w="1530" w:type="dxa"/>
            <w:vAlign w:val="center"/>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新增喷淋、雾炮工地（个）</w:t>
            </w:r>
          </w:p>
        </w:tc>
        <w:tc>
          <w:tcPr>
            <w:tcW w:w="1111" w:type="dxa"/>
            <w:vAlign w:val="center"/>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检查工程（个）</w:t>
            </w:r>
          </w:p>
        </w:tc>
        <w:tc>
          <w:tcPr>
            <w:tcW w:w="1052" w:type="dxa"/>
            <w:vAlign w:val="center"/>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提出整改（条）</w:t>
            </w:r>
          </w:p>
        </w:tc>
        <w:tc>
          <w:tcPr>
            <w:tcW w:w="1126" w:type="dxa"/>
            <w:vAlign w:val="center"/>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责令停工（起）</w:t>
            </w:r>
          </w:p>
        </w:tc>
        <w:tc>
          <w:tcPr>
            <w:tcW w:w="942" w:type="dxa"/>
            <w:vAlign w:val="center"/>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立案</w:t>
            </w:r>
          </w:p>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（起)</w:t>
            </w:r>
          </w:p>
        </w:tc>
        <w:tc>
          <w:tcPr>
            <w:tcW w:w="1134" w:type="dxa"/>
            <w:vAlign w:val="center"/>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处罚金额（起）</w:t>
            </w:r>
          </w:p>
        </w:tc>
        <w:tc>
          <w:tcPr>
            <w:tcW w:w="1130" w:type="dxa"/>
            <w:vAlign w:val="center"/>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诚信扣分（家）</w:t>
            </w:r>
          </w:p>
        </w:tc>
        <w:tc>
          <w:tcPr>
            <w:tcW w:w="1134" w:type="dxa"/>
            <w:vAlign w:val="center"/>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不良行为（家）</w:t>
            </w:r>
          </w:p>
        </w:tc>
        <w:tc>
          <w:tcPr>
            <w:tcW w:w="1296" w:type="dxa"/>
            <w:vAlign w:val="center"/>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其</w:t>
            </w:r>
            <w:r>
              <w:rPr>
                <w:rFonts w:ascii="宋体" w:hAnsi="宋体" w:hint="eastAsia"/>
                <w:color w:val="000000"/>
                <w:kern w:val="0"/>
                <w:sz w:val="22"/>
                <w:szCs w:val="22"/>
              </w:rPr>
              <w:t xml:space="preserve"> </w:t>
            </w:r>
            <w:r>
              <w:rPr>
                <w:rFonts w:ascii="宋体" w:hAnsi="宋体" w:hint="eastAsia"/>
                <w:color w:val="000000"/>
                <w:kern w:val="0"/>
                <w:sz w:val="22"/>
                <w:szCs w:val="22"/>
              </w:rPr>
              <w:t>他</w:t>
            </w:r>
          </w:p>
        </w:tc>
      </w:tr>
      <w:tr w:rsidR="006F1C03" w:rsidTr="006F1C03">
        <w:trPr>
          <w:trHeight w:hRule="exact" w:val="454"/>
        </w:trPr>
        <w:tc>
          <w:tcPr>
            <w:tcW w:w="1041" w:type="dxa"/>
          </w:tcPr>
          <w:p w:rsidR="006F1C03" w:rsidRDefault="006F1C03" w:rsidP="006F1C03">
            <w:pPr>
              <w:widowControl/>
              <w:jc w:val="center"/>
              <w:rPr>
                <w:rFonts w:ascii="宋体" w:hAnsi="宋体"/>
                <w:color w:val="000000"/>
                <w:kern w:val="0"/>
                <w:sz w:val="22"/>
                <w:szCs w:val="22"/>
              </w:rPr>
            </w:pPr>
          </w:p>
        </w:tc>
        <w:tc>
          <w:tcPr>
            <w:tcW w:w="1194"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559"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530"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111"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052"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126"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942"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130"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296"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r>
      <w:tr w:rsidR="006F1C03" w:rsidTr="006F1C03">
        <w:trPr>
          <w:trHeight w:hRule="exact" w:val="454"/>
        </w:trPr>
        <w:tc>
          <w:tcPr>
            <w:tcW w:w="1041" w:type="dxa"/>
          </w:tcPr>
          <w:p w:rsidR="006F1C03" w:rsidRDefault="006F1C03" w:rsidP="006F1C03">
            <w:pPr>
              <w:widowControl/>
              <w:jc w:val="center"/>
              <w:rPr>
                <w:rFonts w:ascii="宋体" w:hAnsi="宋体"/>
                <w:color w:val="000000"/>
                <w:kern w:val="0"/>
                <w:sz w:val="22"/>
                <w:szCs w:val="22"/>
              </w:rPr>
            </w:pPr>
          </w:p>
        </w:tc>
        <w:tc>
          <w:tcPr>
            <w:tcW w:w="1194"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559"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530"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111"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052"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126"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942"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130"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296"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r>
      <w:tr w:rsidR="006F1C03" w:rsidTr="006F1C03">
        <w:trPr>
          <w:trHeight w:hRule="exact" w:val="454"/>
        </w:trPr>
        <w:tc>
          <w:tcPr>
            <w:tcW w:w="1041" w:type="dxa"/>
          </w:tcPr>
          <w:p w:rsidR="006F1C03" w:rsidRDefault="006F1C03" w:rsidP="006F1C03">
            <w:pPr>
              <w:widowControl/>
              <w:jc w:val="center"/>
              <w:rPr>
                <w:rFonts w:ascii="宋体" w:hAnsi="宋体"/>
                <w:color w:val="000000"/>
                <w:kern w:val="0"/>
                <w:sz w:val="22"/>
                <w:szCs w:val="22"/>
              </w:rPr>
            </w:pPr>
          </w:p>
        </w:tc>
        <w:tc>
          <w:tcPr>
            <w:tcW w:w="1194"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559"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530"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111"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052"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126"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942"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130"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296"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r>
      <w:tr w:rsidR="006F1C03" w:rsidTr="006F1C03">
        <w:trPr>
          <w:trHeight w:hRule="exact" w:val="454"/>
        </w:trPr>
        <w:tc>
          <w:tcPr>
            <w:tcW w:w="1041" w:type="dxa"/>
          </w:tcPr>
          <w:p w:rsidR="006F1C03" w:rsidRDefault="006F1C03" w:rsidP="006F1C03">
            <w:pPr>
              <w:widowControl/>
              <w:rPr>
                <w:rFonts w:ascii="宋体" w:hAnsi="宋体"/>
                <w:color w:val="000000"/>
                <w:kern w:val="0"/>
                <w:sz w:val="22"/>
                <w:szCs w:val="22"/>
              </w:rPr>
            </w:pPr>
          </w:p>
        </w:tc>
        <w:tc>
          <w:tcPr>
            <w:tcW w:w="1194" w:type="dxa"/>
          </w:tcPr>
          <w:p w:rsidR="006F1C03" w:rsidRDefault="006F1C03" w:rsidP="006F1C03">
            <w:pPr>
              <w:widowControl/>
              <w:jc w:val="center"/>
              <w:rPr>
                <w:rFonts w:ascii="宋体" w:hAnsi="宋体"/>
                <w:color w:val="000000"/>
                <w:kern w:val="0"/>
                <w:sz w:val="22"/>
                <w:szCs w:val="22"/>
              </w:rPr>
            </w:pPr>
          </w:p>
        </w:tc>
        <w:tc>
          <w:tcPr>
            <w:tcW w:w="1559" w:type="dxa"/>
          </w:tcPr>
          <w:p w:rsidR="006F1C03" w:rsidRDefault="006F1C03" w:rsidP="006F1C03">
            <w:pPr>
              <w:widowControl/>
              <w:jc w:val="center"/>
              <w:rPr>
                <w:rFonts w:ascii="宋体" w:hAnsi="宋体"/>
                <w:color w:val="000000"/>
                <w:kern w:val="0"/>
                <w:sz w:val="22"/>
                <w:szCs w:val="22"/>
              </w:rPr>
            </w:pPr>
          </w:p>
        </w:tc>
        <w:tc>
          <w:tcPr>
            <w:tcW w:w="1530" w:type="dxa"/>
          </w:tcPr>
          <w:p w:rsidR="006F1C03" w:rsidRDefault="006F1C03" w:rsidP="006F1C03">
            <w:pPr>
              <w:widowControl/>
              <w:jc w:val="center"/>
              <w:rPr>
                <w:rFonts w:ascii="宋体" w:hAnsi="宋体"/>
                <w:color w:val="000000"/>
                <w:kern w:val="0"/>
                <w:sz w:val="22"/>
                <w:szCs w:val="22"/>
              </w:rPr>
            </w:pPr>
          </w:p>
        </w:tc>
        <w:tc>
          <w:tcPr>
            <w:tcW w:w="1111" w:type="dxa"/>
          </w:tcPr>
          <w:p w:rsidR="006F1C03" w:rsidRDefault="006F1C03" w:rsidP="006F1C03">
            <w:pPr>
              <w:widowControl/>
              <w:jc w:val="center"/>
              <w:rPr>
                <w:rFonts w:ascii="宋体" w:hAnsi="宋体"/>
                <w:color w:val="000000"/>
                <w:kern w:val="0"/>
                <w:sz w:val="22"/>
                <w:szCs w:val="22"/>
              </w:rPr>
            </w:pPr>
          </w:p>
        </w:tc>
        <w:tc>
          <w:tcPr>
            <w:tcW w:w="1052" w:type="dxa"/>
          </w:tcPr>
          <w:p w:rsidR="006F1C03" w:rsidRDefault="006F1C03" w:rsidP="006F1C03">
            <w:pPr>
              <w:widowControl/>
              <w:jc w:val="center"/>
              <w:rPr>
                <w:rFonts w:ascii="宋体" w:hAnsi="宋体"/>
                <w:color w:val="000000"/>
                <w:kern w:val="0"/>
                <w:sz w:val="22"/>
                <w:szCs w:val="22"/>
              </w:rPr>
            </w:pPr>
          </w:p>
        </w:tc>
        <w:tc>
          <w:tcPr>
            <w:tcW w:w="1126" w:type="dxa"/>
          </w:tcPr>
          <w:p w:rsidR="006F1C03" w:rsidRDefault="006F1C03" w:rsidP="006F1C03">
            <w:pPr>
              <w:widowControl/>
              <w:jc w:val="center"/>
              <w:rPr>
                <w:rFonts w:ascii="宋体" w:hAnsi="宋体"/>
                <w:color w:val="000000"/>
                <w:kern w:val="0"/>
                <w:sz w:val="22"/>
                <w:szCs w:val="22"/>
              </w:rPr>
            </w:pPr>
          </w:p>
        </w:tc>
        <w:tc>
          <w:tcPr>
            <w:tcW w:w="942" w:type="dxa"/>
          </w:tcPr>
          <w:p w:rsidR="006F1C03" w:rsidRDefault="006F1C03" w:rsidP="006F1C03">
            <w:pPr>
              <w:widowControl/>
              <w:jc w:val="center"/>
              <w:rPr>
                <w:rFonts w:ascii="宋体" w:hAnsi="宋体"/>
                <w:color w:val="000000"/>
                <w:kern w:val="0"/>
                <w:sz w:val="22"/>
                <w:szCs w:val="22"/>
              </w:rPr>
            </w:pPr>
          </w:p>
        </w:tc>
        <w:tc>
          <w:tcPr>
            <w:tcW w:w="1134" w:type="dxa"/>
          </w:tcPr>
          <w:p w:rsidR="006F1C03" w:rsidRDefault="006F1C03" w:rsidP="006F1C03">
            <w:pPr>
              <w:widowControl/>
              <w:jc w:val="center"/>
              <w:rPr>
                <w:rFonts w:ascii="宋体" w:hAnsi="宋体"/>
                <w:color w:val="000000"/>
                <w:kern w:val="0"/>
                <w:sz w:val="22"/>
                <w:szCs w:val="22"/>
              </w:rPr>
            </w:pPr>
          </w:p>
        </w:tc>
        <w:tc>
          <w:tcPr>
            <w:tcW w:w="1130" w:type="dxa"/>
          </w:tcPr>
          <w:p w:rsidR="006F1C03" w:rsidRDefault="006F1C03" w:rsidP="006F1C03">
            <w:pPr>
              <w:widowControl/>
              <w:jc w:val="center"/>
              <w:rPr>
                <w:rFonts w:ascii="宋体" w:hAnsi="宋体"/>
                <w:color w:val="000000"/>
                <w:kern w:val="0"/>
                <w:sz w:val="22"/>
                <w:szCs w:val="22"/>
              </w:rPr>
            </w:pPr>
          </w:p>
        </w:tc>
        <w:tc>
          <w:tcPr>
            <w:tcW w:w="1134" w:type="dxa"/>
          </w:tcPr>
          <w:p w:rsidR="006F1C03" w:rsidRDefault="006F1C03" w:rsidP="006F1C03">
            <w:pPr>
              <w:widowControl/>
              <w:jc w:val="center"/>
              <w:rPr>
                <w:rFonts w:ascii="宋体" w:hAnsi="宋体"/>
                <w:color w:val="000000"/>
                <w:kern w:val="0"/>
                <w:sz w:val="22"/>
                <w:szCs w:val="22"/>
              </w:rPr>
            </w:pPr>
          </w:p>
        </w:tc>
        <w:tc>
          <w:tcPr>
            <w:tcW w:w="1296" w:type="dxa"/>
          </w:tcPr>
          <w:p w:rsidR="006F1C03" w:rsidRDefault="006F1C03" w:rsidP="006F1C03">
            <w:pPr>
              <w:widowControl/>
              <w:jc w:val="center"/>
              <w:rPr>
                <w:rFonts w:ascii="宋体" w:hAnsi="宋体"/>
                <w:color w:val="000000"/>
                <w:kern w:val="0"/>
                <w:sz w:val="22"/>
                <w:szCs w:val="22"/>
              </w:rPr>
            </w:pPr>
          </w:p>
        </w:tc>
      </w:tr>
      <w:tr w:rsidR="006F1C03" w:rsidTr="006F1C03">
        <w:trPr>
          <w:trHeight w:hRule="exact" w:val="454"/>
        </w:trPr>
        <w:tc>
          <w:tcPr>
            <w:tcW w:w="1041" w:type="dxa"/>
          </w:tcPr>
          <w:p w:rsidR="006F1C03" w:rsidRDefault="006F1C03" w:rsidP="006F1C03">
            <w:pPr>
              <w:widowControl/>
              <w:rPr>
                <w:rFonts w:ascii="宋体" w:hAnsi="宋体"/>
                <w:color w:val="000000"/>
                <w:kern w:val="0"/>
                <w:sz w:val="22"/>
                <w:szCs w:val="22"/>
              </w:rPr>
            </w:pPr>
          </w:p>
        </w:tc>
        <w:tc>
          <w:tcPr>
            <w:tcW w:w="1194" w:type="dxa"/>
          </w:tcPr>
          <w:p w:rsidR="006F1C03" w:rsidRDefault="006F1C03" w:rsidP="006F1C03">
            <w:pPr>
              <w:widowControl/>
              <w:jc w:val="center"/>
              <w:rPr>
                <w:rFonts w:ascii="宋体" w:hAnsi="宋体"/>
                <w:color w:val="000000"/>
                <w:kern w:val="0"/>
                <w:sz w:val="22"/>
                <w:szCs w:val="22"/>
              </w:rPr>
            </w:pPr>
          </w:p>
        </w:tc>
        <w:tc>
          <w:tcPr>
            <w:tcW w:w="1559" w:type="dxa"/>
          </w:tcPr>
          <w:p w:rsidR="006F1C03" w:rsidRDefault="006F1C03" w:rsidP="006F1C03">
            <w:pPr>
              <w:widowControl/>
              <w:jc w:val="center"/>
              <w:rPr>
                <w:rFonts w:ascii="宋体" w:hAnsi="宋体"/>
                <w:color w:val="000000"/>
                <w:kern w:val="0"/>
                <w:sz w:val="22"/>
                <w:szCs w:val="22"/>
              </w:rPr>
            </w:pPr>
          </w:p>
        </w:tc>
        <w:tc>
          <w:tcPr>
            <w:tcW w:w="1530" w:type="dxa"/>
          </w:tcPr>
          <w:p w:rsidR="006F1C03" w:rsidRDefault="006F1C03" w:rsidP="006F1C03">
            <w:pPr>
              <w:widowControl/>
              <w:jc w:val="center"/>
              <w:rPr>
                <w:rFonts w:ascii="宋体" w:hAnsi="宋体"/>
                <w:color w:val="000000"/>
                <w:kern w:val="0"/>
                <w:sz w:val="22"/>
                <w:szCs w:val="22"/>
              </w:rPr>
            </w:pPr>
          </w:p>
        </w:tc>
        <w:tc>
          <w:tcPr>
            <w:tcW w:w="1111" w:type="dxa"/>
          </w:tcPr>
          <w:p w:rsidR="006F1C03" w:rsidRDefault="006F1C03" w:rsidP="006F1C03">
            <w:pPr>
              <w:widowControl/>
              <w:jc w:val="center"/>
              <w:rPr>
                <w:rFonts w:ascii="宋体" w:hAnsi="宋体"/>
                <w:color w:val="000000"/>
                <w:kern w:val="0"/>
                <w:sz w:val="22"/>
                <w:szCs w:val="22"/>
              </w:rPr>
            </w:pPr>
          </w:p>
        </w:tc>
        <w:tc>
          <w:tcPr>
            <w:tcW w:w="1052" w:type="dxa"/>
          </w:tcPr>
          <w:p w:rsidR="006F1C03" w:rsidRDefault="006F1C03" w:rsidP="006F1C03">
            <w:pPr>
              <w:widowControl/>
              <w:jc w:val="center"/>
              <w:rPr>
                <w:rFonts w:ascii="宋体" w:hAnsi="宋体"/>
                <w:color w:val="000000"/>
                <w:kern w:val="0"/>
                <w:sz w:val="22"/>
                <w:szCs w:val="22"/>
              </w:rPr>
            </w:pPr>
          </w:p>
        </w:tc>
        <w:tc>
          <w:tcPr>
            <w:tcW w:w="1126" w:type="dxa"/>
          </w:tcPr>
          <w:p w:rsidR="006F1C03" w:rsidRDefault="006F1C03" w:rsidP="006F1C03">
            <w:pPr>
              <w:widowControl/>
              <w:jc w:val="center"/>
              <w:rPr>
                <w:rFonts w:ascii="宋体" w:hAnsi="宋体"/>
                <w:color w:val="000000"/>
                <w:kern w:val="0"/>
                <w:sz w:val="22"/>
                <w:szCs w:val="22"/>
              </w:rPr>
            </w:pPr>
          </w:p>
        </w:tc>
        <w:tc>
          <w:tcPr>
            <w:tcW w:w="942" w:type="dxa"/>
          </w:tcPr>
          <w:p w:rsidR="006F1C03" w:rsidRDefault="006F1C03" w:rsidP="006F1C03">
            <w:pPr>
              <w:widowControl/>
              <w:jc w:val="center"/>
              <w:rPr>
                <w:rFonts w:ascii="宋体" w:hAnsi="宋体"/>
                <w:color w:val="000000"/>
                <w:kern w:val="0"/>
                <w:sz w:val="22"/>
                <w:szCs w:val="22"/>
              </w:rPr>
            </w:pPr>
          </w:p>
        </w:tc>
        <w:tc>
          <w:tcPr>
            <w:tcW w:w="1134" w:type="dxa"/>
          </w:tcPr>
          <w:p w:rsidR="006F1C03" w:rsidRDefault="006F1C03" w:rsidP="006F1C03">
            <w:pPr>
              <w:widowControl/>
              <w:jc w:val="center"/>
              <w:rPr>
                <w:rFonts w:ascii="宋体" w:hAnsi="宋体"/>
                <w:color w:val="000000"/>
                <w:kern w:val="0"/>
                <w:sz w:val="22"/>
                <w:szCs w:val="22"/>
              </w:rPr>
            </w:pPr>
          </w:p>
        </w:tc>
        <w:tc>
          <w:tcPr>
            <w:tcW w:w="1130" w:type="dxa"/>
          </w:tcPr>
          <w:p w:rsidR="006F1C03" w:rsidRDefault="006F1C03" w:rsidP="006F1C03">
            <w:pPr>
              <w:widowControl/>
              <w:jc w:val="center"/>
              <w:rPr>
                <w:rFonts w:ascii="宋体" w:hAnsi="宋体"/>
                <w:color w:val="000000"/>
                <w:kern w:val="0"/>
                <w:sz w:val="22"/>
                <w:szCs w:val="22"/>
              </w:rPr>
            </w:pPr>
          </w:p>
        </w:tc>
        <w:tc>
          <w:tcPr>
            <w:tcW w:w="1134" w:type="dxa"/>
          </w:tcPr>
          <w:p w:rsidR="006F1C03" w:rsidRDefault="006F1C03" w:rsidP="006F1C03">
            <w:pPr>
              <w:widowControl/>
              <w:jc w:val="center"/>
              <w:rPr>
                <w:rFonts w:ascii="宋体" w:hAnsi="宋体"/>
                <w:color w:val="000000"/>
                <w:kern w:val="0"/>
                <w:sz w:val="22"/>
                <w:szCs w:val="22"/>
              </w:rPr>
            </w:pPr>
          </w:p>
        </w:tc>
        <w:tc>
          <w:tcPr>
            <w:tcW w:w="1296" w:type="dxa"/>
          </w:tcPr>
          <w:p w:rsidR="006F1C03" w:rsidRDefault="006F1C03" w:rsidP="006F1C03">
            <w:pPr>
              <w:widowControl/>
              <w:jc w:val="center"/>
              <w:rPr>
                <w:rFonts w:ascii="宋体" w:hAnsi="宋体"/>
                <w:color w:val="000000"/>
                <w:kern w:val="0"/>
                <w:sz w:val="22"/>
                <w:szCs w:val="22"/>
              </w:rPr>
            </w:pPr>
          </w:p>
        </w:tc>
      </w:tr>
      <w:tr w:rsidR="006F1C03" w:rsidTr="006F1C03">
        <w:trPr>
          <w:trHeight w:hRule="exact" w:val="454"/>
        </w:trPr>
        <w:tc>
          <w:tcPr>
            <w:tcW w:w="1041" w:type="dxa"/>
          </w:tcPr>
          <w:p w:rsidR="006F1C03" w:rsidRDefault="006F1C03" w:rsidP="006F1C03">
            <w:pPr>
              <w:widowControl/>
              <w:rPr>
                <w:rFonts w:ascii="宋体" w:hAnsi="宋体"/>
                <w:color w:val="000000"/>
                <w:kern w:val="0"/>
                <w:sz w:val="22"/>
                <w:szCs w:val="22"/>
              </w:rPr>
            </w:pPr>
          </w:p>
        </w:tc>
        <w:tc>
          <w:tcPr>
            <w:tcW w:w="1194" w:type="dxa"/>
          </w:tcPr>
          <w:p w:rsidR="006F1C03" w:rsidRDefault="006F1C03" w:rsidP="006F1C03">
            <w:pPr>
              <w:widowControl/>
              <w:jc w:val="center"/>
              <w:rPr>
                <w:rFonts w:ascii="宋体" w:hAnsi="宋体"/>
                <w:color w:val="000000"/>
                <w:kern w:val="0"/>
                <w:sz w:val="22"/>
                <w:szCs w:val="22"/>
              </w:rPr>
            </w:pPr>
          </w:p>
        </w:tc>
        <w:tc>
          <w:tcPr>
            <w:tcW w:w="1559" w:type="dxa"/>
          </w:tcPr>
          <w:p w:rsidR="006F1C03" w:rsidRDefault="006F1C03" w:rsidP="006F1C03">
            <w:pPr>
              <w:widowControl/>
              <w:jc w:val="center"/>
              <w:rPr>
                <w:rFonts w:ascii="宋体" w:hAnsi="宋体"/>
                <w:color w:val="000000"/>
                <w:kern w:val="0"/>
                <w:sz w:val="22"/>
                <w:szCs w:val="22"/>
              </w:rPr>
            </w:pPr>
          </w:p>
        </w:tc>
        <w:tc>
          <w:tcPr>
            <w:tcW w:w="1530" w:type="dxa"/>
          </w:tcPr>
          <w:p w:rsidR="006F1C03" w:rsidRDefault="006F1C03" w:rsidP="006F1C03">
            <w:pPr>
              <w:widowControl/>
              <w:jc w:val="center"/>
              <w:rPr>
                <w:rFonts w:ascii="宋体" w:hAnsi="宋体"/>
                <w:color w:val="000000"/>
                <w:kern w:val="0"/>
                <w:sz w:val="22"/>
                <w:szCs w:val="22"/>
              </w:rPr>
            </w:pPr>
          </w:p>
        </w:tc>
        <w:tc>
          <w:tcPr>
            <w:tcW w:w="1111" w:type="dxa"/>
          </w:tcPr>
          <w:p w:rsidR="006F1C03" w:rsidRDefault="006F1C03" w:rsidP="006F1C03">
            <w:pPr>
              <w:widowControl/>
              <w:jc w:val="center"/>
              <w:rPr>
                <w:rFonts w:ascii="宋体" w:hAnsi="宋体"/>
                <w:color w:val="000000"/>
                <w:kern w:val="0"/>
                <w:sz w:val="22"/>
                <w:szCs w:val="22"/>
              </w:rPr>
            </w:pPr>
          </w:p>
        </w:tc>
        <w:tc>
          <w:tcPr>
            <w:tcW w:w="1052" w:type="dxa"/>
          </w:tcPr>
          <w:p w:rsidR="006F1C03" w:rsidRDefault="006F1C03" w:rsidP="006F1C03">
            <w:pPr>
              <w:widowControl/>
              <w:jc w:val="center"/>
              <w:rPr>
                <w:rFonts w:ascii="宋体" w:hAnsi="宋体"/>
                <w:color w:val="000000"/>
                <w:kern w:val="0"/>
                <w:sz w:val="22"/>
                <w:szCs w:val="22"/>
              </w:rPr>
            </w:pPr>
          </w:p>
        </w:tc>
        <w:tc>
          <w:tcPr>
            <w:tcW w:w="1126" w:type="dxa"/>
          </w:tcPr>
          <w:p w:rsidR="006F1C03" w:rsidRDefault="006F1C03" w:rsidP="006F1C03">
            <w:pPr>
              <w:widowControl/>
              <w:jc w:val="center"/>
              <w:rPr>
                <w:rFonts w:ascii="宋体" w:hAnsi="宋体"/>
                <w:color w:val="000000"/>
                <w:kern w:val="0"/>
                <w:sz w:val="22"/>
                <w:szCs w:val="22"/>
              </w:rPr>
            </w:pPr>
          </w:p>
        </w:tc>
        <w:tc>
          <w:tcPr>
            <w:tcW w:w="942" w:type="dxa"/>
          </w:tcPr>
          <w:p w:rsidR="006F1C03" w:rsidRDefault="006F1C03" w:rsidP="006F1C03">
            <w:pPr>
              <w:widowControl/>
              <w:jc w:val="center"/>
              <w:rPr>
                <w:rFonts w:ascii="宋体" w:hAnsi="宋体"/>
                <w:color w:val="000000"/>
                <w:kern w:val="0"/>
                <w:sz w:val="22"/>
                <w:szCs w:val="22"/>
              </w:rPr>
            </w:pPr>
          </w:p>
        </w:tc>
        <w:tc>
          <w:tcPr>
            <w:tcW w:w="1134" w:type="dxa"/>
          </w:tcPr>
          <w:p w:rsidR="006F1C03" w:rsidRDefault="006F1C03" w:rsidP="006F1C03">
            <w:pPr>
              <w:widowControl/>
              <w:jc w:val="center"/>
              <w:rPr>
                <w:rFonts w:ascii="宋体" w:hAnsi="宋体"/>
                <w:color w:val="000000"/>
                <w:kern w:val="0"/>
                <w:sz w:val="22"/>
                <w:szCs w:val="22"/>
              </w:rPr>
            </w:pPr>
          </w:p>
        </w:tc>
        <w:tc>
          <w:tcPr>
            <w:tcW w:w="1130" w:type="dxa"/>
          </w:tcPr>
          <w:p w:rsidR="006F1C03" w:rsidRDefault="006F1C03" w:rsidP="006F1C03">
            <w:pPr>
              <w:widowControl/>
              <w:jc w:val="center"/>
              <w:rPr>
                <w:rFonts w:ascii="宋体" w:hAnsi="宋体"/>
                <w:color w:val="000000"/>
                <w:kern w:val="0"/>
                <w:sz w:val="22"/>
                <w:szCs w:val="22"/>
              </w:rPr>
            </w:pPr>
          </w:p>
        </w:tc>
        <w:tc>
          <w:tcPr>
            <w:tcW w:w="1134" w:type="dxa"/>
          </w:tcPr>
          <w:p w:rsidR="006F1C03" w:rsidRDefault="006F1C03" w:rsidP="006F1C03">
            <w:pPr>
              <w:widowControl/>
              <w:jc w:val="center"/>
              <w:rPr>
                <w:rFonts w:ascii="宋体" w:hAnsi="宋体"/>
                <w:color w:val="000000"/>
                <w:kern w:val="0"/>
                <w:sz w:val="22"/>
                <w:szCs w:val="22"/>
              </w:rPr>
            </w:pPr>
          </w:p>
        </w:tc>
        <w:tc>
          <w:tcPr>
            <w:tcW w:w="1296" w:type="dxa"/>
          </w:tcPr>
          <w:p w:rsidR="006F1C03" w:rsidRDefault="006F1C03" w:rsidP="006F1C03">
            <w:pPr>
              <w:widowControl/>
              <w:jc w:val="center"/>
              <w:rPr>
                <w:rFonts w:ascii="宋体" w:hAnsi="宋体"/>
                <w:color w:val="000000"/>
                <w:kern w:val="0"/>
                <w:sz w:val="22"/>
                <w:szCs w:val="22"/>
              </w:rPr>
            </w:pPr>
          </w:p>
        </w:tc>
      </w:tr>
      <w:tr w:rsidR="006F1C03" w:rsidTr="006F1C03">
        <w:trPr>
          <w:trHeight w:hRule="exact" w:val="454"/>
        </w:trPr>
        <w:tc>
          <w:tcPr>
            <w:tcW w:w="1041" w:type="dxa"/>
          </w:tcPr>
          <w:p w:rsidR="006F1C03" w:rsidRDefault="006F1C03" w:rsidP="006F1C03">
            <w:pPr>
              <w:widowControl/>
              <w:jc w:val="center"/>
              <w:rPr>
                <w:rFonts w:ascii="宋体" w:hAnsi="宋体"/>
                <w:color w:val="000000"/>
                <w:kern w:val="0"/>
                <w:sz w:val="22"/>
                <w:szCs w:val="22"/>
              </w:rPr>
            </w:pPr>
          </w:p>
        </w:tc>
        <w:tc>
          <w:tcPr>
            <w:tcW w:w="1194"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559"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530"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111"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052"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126"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942"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130"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296"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r>
      <w:tr w:rsidR="006F1C03" w:rsidTr="006F1C03">
        <w:trPr>
          <w:trHeight w:hRule="exact" w:val="454"/>
        </w:trPr>
        <w:tc>
          <w:tcPr>
            <w:tcW w:w="1041" w:type="dxa"/>
          </w:tcPr>
          <w:p w:rsidR="006F1C03" w:rsidRDefault="006F1C03" w:rsidP="006F1C03">
            <w:pPr>
              <w:widowControl/>
              <w:jc w:val="center"/>
              <w:rPr>
                <w:rFonts w:ascii="宋体" w:hAnsi="宋体"/>
                <w:color w:val="000000"/>
                <w:kern w:val="0"/>
                <w:sz w:val="22"/>
                <w:szCs w:val="22"/>
              </w:rPr>
            </w:pPr>
          </w:p>
        </w:tc>
        <w:tc>
          <w:tcPr>
            <w:tcW w:w="1194"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559"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530"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111"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052"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126"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942"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130"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296"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r>
      <w:tr w:rsidR="006F1C03" w:rsidTr="006F1C03">
        <w:trPr>
          <w:trHeight w:hRule="exact" w:val="454"/>
        </w:trPr>
        <w:tc>
          <w:tcPr>
            <w:tcW w:w="1041" w:type="dxa"/>
          </w:tcPr>
          <w:p w:rsidR="006F1C03" w:rsidRDefault="006F1C03" w:rsidP="006F1C03">
            <w:pPr>
              <w:widowControl/>
              <w:jc w:val="center"/>
              <w:rPr>
                <w:rFonts w:ascii="宋体" w:hAnsi="宋体"/>
                <w:color w:val="000000"/>
                <w:kern w:val="0"/>
                <w:sz w:val="22"/>
                <w:szCs w:val="22"/>
              </w:rPr>
            </w:pPr>
          </w:p>
        </w:tc>
        <w:tc>
          <w:tcPr>
            <w:tcW w:w="1194"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559"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530"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111"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052"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126"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942"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130"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296" w:type="dxa"/>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r>
      <w:tr w:rsidR="006F1C03" w:rsidTr="006F1C03">
        <w:trPr>
          <w:trHeight w:hRule="exact" w:val="454"/>
        </w:trPr>
        <w:tc>
          <w:tcPr>
            <w:tcW w:w="1041" w:type="dxa"/>
            <w:vAlign w:val="center"/>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合  计</w:t>
            </w:r>
          </w:p>
        </w:tc>
        <w:tc>
          <w:tcPr>
            <w:tcW w:w="1194" w:type="dxa"/>
            <w:vAlign w:val="center"/>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559" w:type="dxa"/>
            <w:vAlign w:val="center"/>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530" w:type="dxa"/>
            <w:vAlign w:val="center"/>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111" w:type="dxa"/>
            <w:vAlign w:val="center"/>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052" w:type="dxa"/>
            <w:vAlign w:val="center"/>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126" w:type="dxa"/>
            <w:vAlign w:val="center"/>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942" w:type="dxa"/>
            <w:vAlign w:val="center"/>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vAlign w:val="center"/>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130" w:type="dxa"/>
            <w:vAlign w:val="center"/>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vAlign w:val="center"/>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c>
          <w:tcPr>
            <w:tcW w:w="1296" w:type="dxa"/>
            <w:vAlign w:val="center"/>
          </w:tcPr>
          <w:p w:rsidR="006F1C03" w:rsidRDefault="006F1C03" w:rsidP="006F1C03">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r>
      <w:tr w:rsidR="006F1C03" w:rsidTr="006F1C03">
        <w:trPr>
          <w:trHeight w:val="615"/>
        </w:trPr>
        <w:tc>
          <w:tcPr>
            <w:tcW w:w="14249" w:type="dxa"/>
            <w:gridSpan w:val="12"/>
            <w:vAlign w:val="center"/>
          </w:tcPr>
          <w:p w:rsidR="006F1C03" w:rsidRDefault="006F1C03" w:rsidP="006F1C03">
            <w:pPr>
              <w:widowControl/>
              <w:jc w:val="left"/>
              <w:rPr>
                <w:rFonts w:ascii="宋体" w:hAnsi="宋体"/>
                <w:color w:val="000000"/>
                <w:kern w:val="0"/>
              </w:rPr>
            </w:pPr>
            <w:r>
              <w:rPr>
                <w:rFonts w:ascii="宋体" w:hAnsi="宋体" w:hint="eastAsia"/>
                <w:color w:val="000000"/>
                <w:kern w:val="0"/>
              </w:rPr>
              <w:t>填报人：</w:t>
            </w:r>
            <w:r>
              <w:rPr>
                <w:rFonts w:cs="宋体"/>
                <w:color w:val="000000"/>
                <w:kern w:val="0"/>
              </w:rPr>
              <w:t xml:space="preserve">                  </w:t>
            </w:r>
            <w:r>
              <w:rPr>
                <w:rFonts w:cs="宋体"/>
                <w:color w:val="000000"/>
                <w:kern w:val="0"/>
              </w:rPr>
              <w:t xml:space="preserve">                         </w:t>
            </w:r>
            <w:r>
              <w:rPr>
                <w:rFonts w:cs="宋体"/>
                <w:color w:val="000000"/>
                <w:kern w:val="0"/>
              </w:rPr>
              <w:t xml:space="preserve">  </w:t>
            </w:r>
            <w:r>
              <w:rPr>
                <w:rFonts w:ascii="宋体" w:hAnsi="宋体" w:hint="eastAsia"/>
                <w:color w:val="000000"/>
                <w:kern w:val="0"/>
              </w:rPr>
              <w:t>联系电话：</w:t>
            </w:r>
            <w:r>
              <w:rPr>
                <w:rFonts w:cs="宋体"/>
                <w:color w:val="000000"/>
                <w:kern w:val="0"/>
              </w:rPr>
              <w:t xml:space="preserve">                                   </w:t>
            </w:r>
            <w:r>
              <w:rPr>
                <w:rFonts w:ascii="宋体" w:hAnsi="宋体" w:hint="eastAsia"/>
                <w:color w:val="000000"/>
                <w:kern w:val="0"/>
              </w:rPr>
              <w:t xml:space="preserve">填报时间： </w:t>
            </w:r>
            <w:r>
              <w:rPr>
                <w:rFonts w:ascii="宋体" w:hAnsi="宋体" w:hint="eastAsia"/>
                <w:color w:val="000000"/>
                <w:kern w:val="0"/>
              </w:rPr>
              <w:t xml:space="preserve"> </w:t>
            </w:r>
            <w:r>
              <w:rPr>
                <w:rFonts w:ascii="宋体" w:hAnsi="宋体" w:hint="eastAsia"/>
                <w:color w:val="000000"/>
                <w:kern w:val="0"/>
              </w:rPr>
              <w:t xml:space="preserve">  </w:t>
            </w:r>
            <w:r>
              <w:rPr>
                <w:rFonts w:cs="宋体"/>
                <w:color w:val="000000"/>
                <w:kern w:val="0"/>
              </w:rPr>
              <w:t> </w:t>
            </w:r>
            <w:r>
              <w:rPr>
                <w:rFonts w:ascii="宋体" w:hAnsi="宋体" w:hint="eastAsia"/>
                <w:color w:val="000000"/>
                <w:kern w:val="0"/>
              </w:rPr>
              <w:t>年</w:t>
            </w:r>
            <w:r>
              <w:rPr>
                <w:rFonts w:hint="eastAsia"/>
                <w:color w:val="000000"/>
                <w:kern w:val="0"/>
              </w:rPr>
              <w:t xml:space="preserve">    </w:t>
            </w:r>
            <w:r>
              <w:rPr>
                <w:rFonts w:hint="eastAsia"/>
                <w:color w:val="000000"/>
                <w:kern w:val="0"/>
              </w:rPr>
              <w:t xml:space="preserve"> </w:t>
            </w:r>
            <w:r>
              <w:rPr>
                <w:rFonts w:ascii="宋体" w:hAnsi="宋体" w:hint="eastAsia"/>
                <w:color w:val="000000"/>
                <w:kern w:val="0"/>
              </w:rPr>
              <w:t>月</w:t>
            </w:r>
            <w:r>
              <w:rPr>
                <w:rFonts w:hint="eastAsia"/>
                <w:color w:val="000000"/>
                <w:kern w:val="0"/>
              </w:rPr>
              <w:t xml:space="preserve">   </w:t>
            </w:r>
            <w:r>
              <w:rPr>
                <w:rFonts w:hint="eastAsia"/>
                <w:color w:val="000000"/>
                <w:kern w:val="0"/>
              </w:rPr>
              <w:t xml:space="preserve"> </w:t>
            </w:r>
            <w:r>
              <w:rPr>
                <w:rFonts w:cs="宋体"/>
                <w:color w:val="000000"/>
                <w:kern w:val="0"/>
              </w:rPr>
              <w:t> </w:t>
            </w:r>
            <w:r>
              <w:rPr>
                <w:rFonts w:ascii="宋体" w:hAnsi="宋体" w:hint="eastAsia"/>
                <w:color w:val="000000"/>
                <w:kern w:val="0"/>
              </w:rPr>
              <w:t>日</w:t>
            </w:r>
          </w:p>
        </w:tc>
      </w:tr>
    </w:tbl>
    <w:p w:rsidR="006F1C03" w:rsidRPr="006F1C03" w:rsidRDefault="006F1C03" w:rsidP="006F1C03">
      <w:pPr>
        <w:jc w:val="left"/>
        <w:rPr>
          <w:rFonts w:asciiTheme="minorEastAsia" w:eastAsiaTheme="minorEastAsia" w:hAnsiTheme="minorEastAsia" w:hint="eastAsia"/>
          <w:sz w:val="22"/>
          <w:szCs w:val="22"/>
        </w:rPr>
      </w:pPr>
      <w:r w:rsidRPr="006F1C03">
        <w:rPr>
          <w:rFonts w:asciiTheme="minorEastAsia" w:eastAsiaTheme="minorEastAsia" w:hAnsiTheme="minorEastAsia" w:hint="eastAsia"/>
          <w:sz w:val="22"/>
          <w:szCs w:val="22"/>
        </w:rPr>
        <w:t>填表单位（盖章）：</w:t>
      </w:r>
    </w:p>
    <w:p w:rsidR="006F1C03" w:rsidRPr="006F1C03" w:rsidRDefault="006F1C03" w:rsidP="006F1C03">
      <w:pPr>
        <w:ind w:firstLineChars="100" w:firstLine="220"/>
        <w:jc w:val="left"/>
        <w:rPr>
          <w:rFonts w:asciiTheme="minorEastAsia" w:eastAsiaTheme="minorEastAsia" w:hAnsiTheme="minorEastAsia"/>
          <w:sz w:val="22"/>
          <w:szCs w:val="22"/>
        </w:rPr>
      </w:pPr>
      <w:r w:rsidRPr="006F1C03">
        <w:rPr>
          <w:rFonts w:asciiTheme="minorEastAsia" w:eastAsiaTheme="minorEastAsia" w:hAnsiTheme="minorEastAsia" w:hint="eastAsia"/>
          <w:sz w:val="22"/>
          <w:szCs w:val="22"/>
        </w:rPr>
        <w:t>备注：1.此表主要统计主管部门工作情况，每月5日前向上级主管部门报送一次。2.各级主管部门要做好汇总上报工作，注意存档备查。</w:t>
      </w:r>
      <w:r w:rsidRPr="006F1C03">
        <w:rPr>
          <w:rFonts w:asciiTheme="minorEastAsia" w:eastAsiaTheme="minorEastAsia" w:hAnsiTheme="minorEastAsia" w:hint="eastAsia"/>
          <w:sz w:val="22"/>
          <w:szCs w:val="22"/>
        </w:rPr>
        <w:tab/>
      </w:r>
    </w:p>
    <w:sectPr w:rsidR="006F1C03" w:rsidRPr="006F1C03" w:rsidSect="006F1C03">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0C6" w:rsidRDefault="007800C6" w:rsidP="006F1C03">
      <w:r>
        <w:separator/>
      </w:r>
    </w:p>
  </w:endnote>
  <w:endnote w:type="continuationSeparator" w:id="1">
    <w:p w:rsidR="007800C6" w:rsidRDefault="007800C6" w:rsidP="006F1C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1289"/>
      <w:docPartObj>
        <w:docPartGallery w:val="Page Numbers (Bottom of Page)"/>
        <w:docPartUnique/>
      </w:docPartObj>
    </w:sdtPr>
    <w:sdtContent>
      <w:p w:rsidR="006F1C03" w:rsidRDefault="006F1C03" w:rsidP="006F1C03">
        <w:pPr>
          <w:pStyle w:val="a5"/>
          <w:jc w:val="center"/>
        </w:pPr>
        <w:fldSimple w:instr=" PAGE   \* MERGEFORMAT ">
          <w:r w:rsidRPr="006F1C03">
            <w:rPr>
              <w:noProof/>
              <w:lang w:val="zh-CN"/>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0C6" w:rsidRDefault="007800C6" w:rsidP="006F1C03">
      <w:r>
        <w:separator/>
      </w:r>
    </w:p>
  </w:footnote>
  <w:footnote w:type="continuationSeparator" w:id="1">
    <w:p w:rsidR="007800C6" w:rsidRDefault="007800C6" w:rsidP="006F1C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1C03"/>
    <w:rsid w:val="006F1C03"/>
    <w:rsid w:val="007800C6"/>
    <w:rsid w:val="00DD29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C0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6F1C03"/>
    <w:pPr>
      <w:widowControl/>
      <w:spacing w:after="160" w:line="240" w:lineRule="exact"/>
      <w:jc w:val="left"/>
    </w:pPr>
  </w:style>
  <w:style w:type="paragraph" w:customStyle="1" w:styleId="1">
    <w:name w:val="列出段落1"/>
    <w:basedOn w:val="a"/>
    <w:rsid w:val="006F1C03"/>
    <w:pPr>
      <w:ind w:firstLineChars="200" w:firstLine="420"/>
    </w:pPr>
    <w:rPr>
      <w:rFonts w:ascii="Calibri" w:hAnsi="Calibri"/>
      <w:szCs w:val="21"/>
    </w:rPr>
  </w:style>
  <w:style w:type="character" w:styleId="a3">
    <w:name w:val="Hyperlink"/>
    <w:rsid w:val="006F1C03"/>
    <w:rPr>
      <w:color w:val="0000FF"/>
      <w:u w:val="single"/>
    </w:rPr>
  </w:style>
  <w:style w:type="paragraph" w:styleId="a4">
    <w:name w:val="header"/>
    <w:basedOn w:val="a"/>
    <w:link w:val="Char"/>
    <w:uiPriority w:val="99"/>
    <w:semiHidden/>
    <w:unhideWhenUsed/>
    <w:rsid w:val="006F1C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F1C03"/>
    <w:rPr>
      <w:rFonts w:ascii="Times New Roman" w:eastAsia="宋体" w:hAnsi="Times New Roman" w:cs="Times New Roman"/>
      <w:sz w:val="18"/>
      <w:szCs w:val="18"/>
    </w:rPr>
  </w:style>
  <w:style w:type="paragraph" w:styleId="a5">
    <w:name w:val="footer"/>
    <w:basedOn w:val="a"/>
    <w:link w:val="Char0"/>
    <w:uiPriority w:val="99"/>
    <w:unhideWhenUsed/>
    <w:rsid w:val="006F1C03"/>
    <w:pPr>
      <w:tabs>
        <w:tab w:val="center" w:pos="4153"/>
        <w:tab w:val="right" w:pos="8306"/>
      </w:tabs>
      <w:snapToGrid w:val="0"/>
      <w:jc w:val="left"/>
    </w:pPr>
    <w:rPr>
      <w:sz w:val="18"/>
      <w:szCs w:val="18"/>
    </w:rPr>
  </w:style>
  <w:style w:type="character" w:customStyle="1" w:styleId="Char0">
    <w:name w:val="页脚 Char"/>
    <w:basedOn w:val="a0"/>
    <w:link w:val="a5"/>
    <w:uiPriority w:val="99"/>
    <w:rsid w:val="006F1C0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400</Words>
  <Characters>2286</Characters>
  <Application>Microsoft Office Word</Application>
  <DocSecurity>0</DocSecurity>
  <Lines>19</Lines>
  <Paragraphs>5</Paragraphs>
  <ScaleCrop>false</ScaleCrop>
  <Company>Microsoft</Company>
  <LinksUpToDate>false</LinksUpToDate>
  <CharactersWithSpaces>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李乐</dc:creator>
  <cp:lastModifiedBy>李乐</cp:lastModifiedBy>
  <cp:revision>1</cp:revision>
  <dcterms:created xsi:type="dcterms:W3CDTF">2018-01-31T02:47:00Z</dcterms:created>
  <dcterms:modified xsi:type="dcterms:W3CDTF">2018-01-31T03:00:00Z</dcterms:modified>
</cp:coreProperties>
</file>