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48"/>
          <w:szCs w:val="48"/>
        </w:rPr>
      </w:pPr>
    </w:p>
    <w:p>
      <w:pPr>
        <w:spacing w:line="360" w:lineRule="auto"/>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天津市绿色建筑发展</w:t>
      </w:r>
    </w:p>
    <w:p>
      <w:pPr>
        <w:spacing w:line="360" w:lineRule="auto"/>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“十四五”规划</w:t>
      </w:r>
    </w:p>
    <w:p>
      <w:pPr>
        <w:spacing w:line="360" w:lineRule="auto"/>
        <w:jc w:val="center"/>
        <w:rPr>
          <w:rFonts w:hint="default" w:ascii="Times New Roman" w:hAnsi="Times New Roman" w:eastAsia="仿宋" w:cs="Times New Roman"/>
          <w:bCs/>
          <w:sz w:val="48"/>
          <w:szCs w:val="48"/>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360" w:lineRule="auto"/>
        <w:jc w:val="center"/>
        <w:rPr>
          <w:rFonts w:hint="default" w:ascii="Times New Roman" w:hAnsi="Times New Roman" w:eastAsia="仿宋" w:cs="Times New Roman"/>
          <w:bCs/>
          <w:sz w:val="32"/>
          <w:szCs w:val="32"/>
        </w:rPr>
      </w:pPr>
    </w:p>
    <w:p>
      <w:pPr>
        <w:spacing w:line="480" w:lineRule="auto"/>
        <w:rPr>
          <w:rFonts w:hint="default" w:ascii="Times New Roman" w:hAnsi="Times New Roman" w:eastAsia="仿宋" w:cs="Times New Roman"/>
          <w:bCs/>
          <w:sz w:val="32"/>
          <w:szCs w:val="32"/>
        </w:rPr>
      </w:pPr>
    </w:p>
    <w:p>
      <w:pPr>
        <w:spacing w:line="480" w:lineRule="auto"/>
        <w:ind w:firstLine="933" w:firstLineChars="300"/>
        <w:rPr>
          <w:rFonts w:hint="default" w:ascii="Times New Roman" w:hAnsi="Times New Roman" w:eastAsia="仿宋" w:cs="Times New Roman"/>
          <w:bCs/>
          <w:sz w:val="32"/>
          <w:szCs w:val="32"/>
        </w:rPr>
      </w:pPr>
    </w:p>
    <w:p>
      <w:pPr>
        <w:spacing w:line="48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天津市住房和城乡建设委员会</w:t>
      </w:r>
    </w:p>
    <w:p>
      <w:pPr>
        <w:spacing w:line="48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二〇二一年</w:t>
      </w:r>
      <w:r>
        <w:rPr>
          <w:rFonts w:hint="default" w:ascii="Times New Roman" w:hAnsi="Times New Roman" w:eastAsia="仿宋" w:cs="Times New Roman"/>
          <w:bCs/>
          <w:sz w:val="32"/>
          <w:szCs w:val="32"/>
          <w:lang w:val="en-US" w:eastAsia="zh-CN"/>
        </w:rPr>
        <w:t>四</w:t>
      </w:r>
      <w:r>
        <w:rPr>
          <w:rFonts w:hint="default" w:ascii="Times New Roman" w:hAnsi="Times New Roman" w:eastAsia="仿宋" w:cs="Times New Roman"/>
          <w:bCs/>
          <w:sz w:val="32"/>
          <w:szCs w:val="32"/>
        </w:rPr>
        <w:t>月</w:t>
      </w:r>
    </w:p>
    <w:p>
      <w:pPr>
        <w:spacing w:line="480" w:lineRule="auto"/>
        <w:ind w:firstLine="703"/>
        <w:jc w:val="center"/>
        <w:rPr>
          <w:rFonts w:hint="default" w:ascii="Times New Roman" w:hAnsi="Times New Roman" w:eastAsia="仿宋" w:cs="Times New Roman"/>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758" w:bottom="1418" w:left="1758" w:header="851" w:footer="737" w:gutter="0"/>
          <w:pgBorders w:offsetFrom="page">
            <w:top w:val="single" w:color="FFFFFF" w:sz="8" w:space="24"/>
            <w:left w:val="single" w:color="FFFFFF" w:sz="8" w:space="24"/>
            <w:bottom w:val="single" w:color="FFFFFF" w:sz="8" w:space="24"/>
            <w:right w:val="single" w:color="FFFFFF" w:sz="8" w:space="24"/>
          </w:pgBorders>
          <w:cols w:space="720" w:num="1"/>
          <w:titlePg/>
          <w:docGrid w:type="linesAndChars" w:linePitch="136" w:charSpace="-2040"/>
        </w:sectPr>
      </w:pPr>
    </w:p>
    <w:p>
      <w:pPr>
        <w:spacing w:before="68" w:beforeLines="50" w:after="136" w:afterLines="100" w:line="360" w:lineRule="auto"/>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目  录</w:t>
      </w:r>
    </w:p>
    <w:p>
      <w:pPr>
        <w:pStyle w:val="20"/>
        <w:tabs>
          <w:tab w:val="right" w:leader="dot" w:pos="8380"/>
        </w:tabs>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TOC \o "1-3" \h \z \u </w:instrText>
      </w:r>
      <w:r>
        <w:rPr>
          <w:rFonts w:hint="default" w:ascii="Times New Roman" w:hAnsi="Times New Roman" w:eastAsia="仿宋" w:cs="Times New Roman"/>
          <w:bCs/>
          <w:sz w:val="32"/>
          <w:szCs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"_Toc63331840"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一、规划编制背景</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_Toc63331840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"_Toc63331841"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1、政策背景</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_Toc63331841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"_Toc63331842"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（1）碳中和、碳达峰国家建设推动绿色低碳进程</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_Toc63331842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"_Toc63331843"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（2）生态文明建设推进美丽天津发展</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_Toc63331843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"_Toc63331844"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（3）京津冀协同促进建筑产业区域互联</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_Toc63331844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"_Toc63331845"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（4）绿色低碳理念创造建筑业发展新空间</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_Toc63331845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3</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"_Toc63331846"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（5）新标准实施提出更精细化发展要求</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_Toc63331846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3</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"_Toc63331847"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2、“十三五”工作成效</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_Toc63331847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4</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"_Toc63331848"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（1）法规政策体系日趋完善</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_Toc63331848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"_Toc63331849"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（2）标准体系逐渐实现全覆盖</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_Toc63331849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"_Toc63331850"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（3）新建建筑节能减排稳步推进</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_Toc63331850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"_Toc63331851"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（4）绿色建筑发展位居全国前列</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_Toc63331851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6</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"_Toc63331852"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（5）绿色建材应用比例逐步提高</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_Toc63331852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6</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"_Toc63331853"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（6）绿色生态城区示范效应显著</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_Toc63331853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7</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"_Toc63331854"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（7）既有建筑能效提升深入推进</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_Toc63331854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7</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"_Toc63331855"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（8）装配式建筑发展基础夯实</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_Toc63331855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8</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"_Toc63331856"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3、存在问题</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_Toc63331856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8</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"_Toc63331857"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（1）绿色建筑高品质发展有待加强</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_Toc63331857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8</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"_Toc63331858"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（2）装配式建筑标准化程度有待提高</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_Toc63331858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8</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"_Toc63331859"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（3）信息化服务支撑能力有待提升</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_Toc63331859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9</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"_Toc63331860"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（4）绿色理念宣传尚需加强</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_Toc63331860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9</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0"/>
        <w:tabs>
          <w:tab w:val="right" w:leader="dot" w:pos="8380"/>
        </w:tabs>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"_Toc63331861"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二、“十四五”规划指导思想、工作原则和发展目标</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_Toc63331861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"_Toc63331862"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1、指导思想</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_Toc63331862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"_Toc63331863"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2、基本原则</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_Toc63331863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"_Toc63331864"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（1）因地制宜、体现特色</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_Toc63331864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11</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"_Toc63331865"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（2）立足当前，着眼长远</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_Toc63331865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"_Toc63331866"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（3）政府引导、市场运作</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_Toc63331866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"_Toc63331867"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（4）科技创新、产业发展</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_Toc63331867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"_Toc63331868"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3、发展目标</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_Toc63331868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"_Toc63331869"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（1）总体目标</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_Toc63331869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13"/>
        <w:tabs>
          <w:tab w:val="right" w:leader="dot" w:pos="8380"/>
        </w:tabs>
        <w:ind w:left="8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"_Toc63331870"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（2）具体目标</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_Toc63331870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13</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0"/>
        <w:tabs>
          <w:tab w:val="right" w:leader="dot" w:pos="8380"/>
        </w:tabs>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"_Toc63331871"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三、“十四五”规划重点任务</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_Toc63331871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"_Toc63331872"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1、深入推动绿色建筑优质发展</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_Toc63331872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15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"_Toc63331880"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2、积极促进建筑能效进一步提升</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_Toc63331880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20</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"_Toc63331884"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3、推进新型建筑工业化发展</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_Toc63331884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22</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0"/>
        <w:tabs>
          <w:tab w:val="right" w:leader="dot" w:pos="8380"/>
        </w:tabs>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"_Toc63331889"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四、保障措施</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_Toc63331889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"_Toc63331890"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1、完善政策制度</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_Toc63331890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"_Toc63331891"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2、加强组织实施</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_Toc63331891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"_Toc63331892"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3、强化激励机制</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_Toc63331892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25</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"_Toc63331893"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4、提升市场推动</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_Toc63331893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26</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"_Toc63331894"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5、完善技术标准</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_Toc63331894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26</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pStyle w:val="23"/>
        <w:tabs>
          <w:tab w:val="right" w:leader="dot" w:pos="8380"/>
        </w:tabs>
        <w:ind w:left="400"/>
        <w:rPr>
          <w:rFonts w:hint="default" w:ascii="Times New Roman" w:hAnsi="Times New Roman" w:eastAsia="仿宋" w:cs="Times New Roman"/>
          <w:bCs/>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"_Toc63331895" </w:instrText>
      </w:r>
      <w:r>
        <w:rPr>
          <w:rFonts w:hint="default" w:ascii="Times New Roman" w:hAnsi="Times New Roman" w:cs="Times New Roman"/>
        </w:rPr>
        <w:fldChar w:fldCharType="separate"/>
      </w:r>
      <w:r>
        <w:rPr>
          <w:rStyle w:val="34"/>
          <w:rFonts w:hint="default" w:ascii="Times New Roman" w:hAnsi="Times New Roman" w:eastAsia="仿宋" w:cs="Times New Roman"/>
          <w:bCs/>
          <w:sz w:val="32"/>
          <w:szCs w:val="32"/>
        </w:rPr>
        <w:t>6、加强宣传推广</w:t>
      </w:r>
      <w:r>
        <w:rPr>
          <w:rFonts w:hint="default" w:ascii="Times New Roman" w:hAnsi="Times New Roman" w:eastAsia="仿宋" w:cs="Times New Roman"/>
          <w:bCs/>
          <w:sz w:val="32"/>
          <w:szCs w:val="32"/>
        </w:rPr>
        <w:tab/>
      </w:r>
      <w:r>
        <w:rPr>
          <w:rFonts w:hint="default" w:ascii="Times New Roman" w:hAnsi="Times New Roman" w:eastAsia="仿宋" w:cs="Times New Roman"/>
          <w:bCs/>
          <w:sz w:val="32"/>
          <w:szCs w:val="32"/>
        </w:rPr>
        <w:fldChar w:fldCharType="begin"/>
      </w:r>
      <w:r>
        <w:rPr>
          <w:rFonts w:hint="default" w:ascii="Times New Roman" w:hAnsi="Times New Roman" w:eastAsia="仿宋" w:cs="Times New Roman"/>
          <w:bCs/>
          <w:sz w:val="32"/>
          <w:szCs w:val="32"/>
        </w:rPr>
        <w:instrText xml:space="preserve"> PAGEREF _Toc63331895 \h </w:instrText>
      </w:r>
      <w:r>
        <w:rPr>
          <w:rFonts w:hint="default" w:ascii="Times New Roman" w:hAnsi="Times New Roman" w:eastAsia="仿宋" w:cs="Times New Roman"/>
          <w:bCs/>
          <w:sz w:val="32"/>
          <w:szCs w:val="32"/>
        </w:rPr>
        <w:fldChar w:fldCharType="separate"/>
      </w:r>
      <w:r>
        <w:rPr>
          <w:rFonts w:hint="default" w:ascii="Times New Roman" w:hAnsi="Times New Roman" w:eastAsia="仿宋" w:cs="Times New Roman"/>
          <w:bCs/>
          <w:sz w:val="32"/>
          <w:szCs w:val="32"/>
        </w:rPr>
        <w:t>26</w:t>
      </w:r>
      <w:r>
        <w:rPr>
          <w:rFonts w:hint="default" w:ascii="Times New Roman" w:hAnsi="Times New Roman" w:eastAsia="仿宋" w:cs="Times New Roman"/>
          <w:bCs/>
          <w:sz w:val="32"/>
          <w:szCs w:val="32"/>
        </w:rPr>
        <w:fldChar w:fldCharType="end"/>
      </w:r>
      <w:r>
        <w:rPr>
          <w:rFonts w:hint="default" w:ascii="Times New Roman" w:hAnsi="Times New Roman" w:eastAsia="仿宋" w:cs="Times New Roman"/>
          <w:bCs/>
          <w:sz w:val="32"/>
          <w:szCs w:val="32"/>
        </w:rPr>
        <w:fldChar w:fldCharType="end"/>
      </w:r>
    </w:p>
    <w:p>
      <w:pPr>
        <w:spacing w:line="360" w:lineRule="auto"/>
        <w:ind w:firstLine="311" w:firstLineChars="10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fldChar w:fldCharType="end"/>
      </w:r>
    </w:p>
    <w:p>
      <w:pPr>
        <w:spacing w:line="360" w:lineRule="auto"/>
        <w:ind w:firstLine="311" w:firstLineChars="100"/>
        <w:rPr>
          <w:rFonts w:hint="default" w:ascii="Times New Roman" w:hAnsi="Times New Roman" w:eastAsia="仿宋" w:cs="Times New Roman"/>
          <w:bCs/>
          <w:sz w:val="32"/>
          <w:szCs w:val="32"/>
        </w:rPr>
        <w:sectPr>
          <w:footerReference r:id="rId10" w:type="first"/>
          <w:footerReference r:id="rId9" w:type="default"/>
          <w:pgSz w:w="11906" w:h="16838"/>
          <w:pgMar w:top="1418" w:right="1758" w:bottom="1418" w:left="1758" w:header="851" w:footer="737" w:gutter="0"/>
          <w:pgBorders w:offsetFrom="page">
            <w:top w:val="single" w:color="FFFFFF" w:sz="8" w:space="24"/>
            <w:left w:val="single" w:color="FFFFFF" w:sz="8" w:space="24"/>
            <w:bottom w:val="single" w:color="FFFFFF" w:sz="8" w:space="24"/>
            <w:right w:val="single" w:color="FFFFFF" w:sz="8" w:space="24"/>
          </w:pgBorders>
          <w:pgNumType w:fmt="upperRoman" w:start="1"/>
          <w:cols w:space="720" w:num="1"/>
          <w:titlePg/>
          <w:docGrid w:type="linesAndChars" w:linePitch="136" w:charSpace="-2040"/>
        </w:sectPr>
      </w:pPr>
    </w:p>
    <w:p>
      <w:pPr>
        <w:pStyle w:val="2"/>
        <w:spacing w:before="286" w:beforeLines="100" w:after="286" w:afterLines="100" w:line="360" w:lineRule="auto"/>
        <w:rPr>
          <w:rFonts w:hint="default" w:ascii="Times New Roman" w:hAnsi="Times New Roman" w:eastAsia="黑体" w:cs="Times New Roman"/>
          <w:b w:val="0"/>
          <w:sz w:val="32"/>
          <w:szCs w:val="32"/>
        </w:rPr>
      </w:pPr>
      <w:bookmarkStart w:id="0" w:name="_Toc63331840"/>
      <w:bookmarkStart w:id="1" w:name="_Toc61617570"/>
      <w:r>
        <w:rPr>
          <w:rFonts w:hint="default" w:ascii="Times New Roman" w:hAnsi="Times New Roman" w:eastAsia="黑体" w:cs="Times New Roman"/>
          <w:b w:val="0"/>
          <w:sz w:val="32"/>
          <w:szCs w:val="32"/>
        </w:rPr>
        <w:t>一、规划编制背景</w:t>
      </w:r>
      <w:bookmarkEnd w:id="0"/>
      <w:bookmarkEnd w:id="1"/>
    </w:p>
    <w:p>
      <w:pPr>
        <w:pStyle w:val="3"/>
        <w:spacing w:before="143" w:beforeLines="50" w:after="143" w:afterLines="50"/>
        <w:rPr>
          <w:rFonts w:hint="eastAsia" w:ascii="楷体_GB2312" w:hAnsi="楷体_GB2312" w:eastAsia="楷体_GB2312" w:cs="楷体_GB2312"/>
          <w:b w:val="0"/>
          <w:bCs/>
          <w:sz w:val="32"/>
          <w:szCs w:val="32"/>
        </w:rPr>
      </w:pPr>
      <w:bookmarkStart w:id="2" w:name="_Toc63331841"/>
      <w:bookmarkStart w:id="3" w:name="_Toc61617571"/>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rPr>
        <w:t>政策背景</w:t>
      </w:r>
      <w:bookmarkEnd w:id="2"/>
      <w:bookmarkEnd w:id="3"/>
    </w:p>
    <w:p>
      <w:pPr>
        <w:pStyle w:val="4"/>
        <w:rPr>
          <w:rFonts w:hint="default"/>
        </w:rPr>
      </w:pPr>
      <w:bookmarkStart w:id="4" w:name="_Toc61617572"/>
      <w:bookmarkStart w:id="5" w:name="_Toc63331842"/>
      <w:r>
        <w:rPr>
          <w:rFonts w:hint="eastAsia"/>
          <w:lang w:val="en-US" w:eastAsia="zh-CN"/>
        </w:rPr>
        <w:t>1.</w:t>
      </w:r>
      <w:r>
        <w:rPr>
          <w:rFonts w:hint="default"/>
        </w:rPr>
        <w:t>碳中和、碳达峰国家建设推动绿色低碳进程</w:t>
      </w:r>
      <w:bookmarkEnd w:id="4"/>
      <w:bookmarkEnd w:id="5"/>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在第七十五届联合国大会上我国做出庄严承诺，将提高国家自主贡献力度，采取更加有力的政策和措施，二氧化碳排放力争于2030年前达到峰值，努力争取2060年前实现碳中和。这是我国第一次在全球正式场合提出碳中和计划时间表，也是全球主要排放国里首个设定碳中和限期的发展中国家。碳中和、碳达峰目标设立加速推动我国经济社会发展全面绿色低碳转型，推动绿色低碳发展成为积极应对气候变化、推动生态文明建设的重要任务和必然选择。《国民经济和社会发展第十四个五年规划和2035年远景目标纲要》进一步明确了未来一段时期绿色低碳发展的目标和举措，坚持绿色发展，促进人与自然和谐共生，推动形成绿色发展方式、生活方式成为未来发展的主旋律。</w:t>
      </w:r>
    </w:p>
    <w:p>
      <w:pPr>
        <w:pStyle w:val="4"/>
        <w:rPr>
          <w:rFonts w:hint="default"/>
        </w:rPr>
      </w:pPr>
      <w:bookmarkStart w:id="6" w:name="_Toc61617573"/>
      <w:bookmarkStart w:id="7" w:name="_Toc63331843"/>
      <w:r>
        <w:rPr>
          <w:rFonts w:hint="eastAsia"/>
          <w:lang w:val="en-US" w:eastAsia="zh-CN"/>
        </w:rPr>
        <w:t>2.</w:t>
      </w:r>
      <w:r>
        <w:rPr>
          <w:rFonts w:hint="default"/>
        </w:rPr>
        <w:t>生态文明建设推进美丽天津发展</w:t>
      </w:r>
      <w:bookmarkEnd w:id="6"/>
      <w:bookmarkEnd w:id="7"/>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党的十九大明确将“树立和践行绿水青山就是金山银山的理念”作为新时代中国特色社会主义生态文明建设的重要思想和基本方略；提出建设“人与自然和谐共生的现代化”，要求既要创造更多物质财富和精神财富以满足人民日益增长的美好生活需要，也要提供更多优质生态产品以满足人民日益增长的优美生态环境需要，国家对生态文明建设的重视力度日益加大。习总书记强调，我国生态文明建设到了有条件有能力解决生态环境突出问题的窗口期，对生态文明建设提出更高发展要求。天津市落实党中央、国务院提出的全面建设生态文明、走新型城镇化道路、建设美丽中国等发展战略，紧密结合党中央精神与天津市实际，将生态文明建设放在更加突出的地位，加快建设资源节约型、环境友好型社会，扎实推进美丽天津建设，为天津市绿色建筑及装配式建筑发展指明方向。</w:t>
      </w:r>
    </w:p>
    <w:p>
      <w:pPr>
        <w:pStyle w:val="4"/>
        <w:rPr>
          <w:rFonts w:hint="default"/>
        </w:rPr>
      </w:pPr>
      <w:bookmarkStart w:id="8" w:name="_Toc63331844"/>
      <w:bookmarkStart w:id="9" w:name="_Toc61617574"/>
      <w:r>
        <w:rPr>
          <w:rFonts w:hint="eastAsia"/>
          <w:lang w:val="en-US" w:eastAsia="zh-CN"/>
        </w:rPr>
        <w:t>3.</w:t>
      </w:r>
      <w:r>
        <w:rPr>
          <w:rFonts w:hint="default"/>
        </w:rPr>
        <w:t>京津冀协同促进建筑产业区域互联</w:t>
      </w:r>
      <w:bookmarkEnd w:id="8"/>
      <w:bookmarkEnd w:id="9"/>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习总书记指出，当前区域协调发展战略进入新阶段，需加快实施“一带一路”建设、京津冀协同发展战略，构建以城市群、经济带为引领和支撑的区域发展大格局。天津在京津冀协同发展中具有重要作用，市委十届七次全会审议通过的《天津市贯彻落实〈京津冀协同发展规划纲要〉实施方案（2015-2020年）》，就推进生态环境建设提出了明确的发展定位：“天津将打造水绕津城、城在林中、天蓝水清”，更加践行生态优先、绿色发展理念，京津冀地区绿色建筑、装配式建筑将实现新突破，成为发展的主战场之一。发展绿色建筑是提高建筑品质和使用寿命、节约能源资源的最直接途径；发展装配式建筑有利于推动钢铁等传统行业转型升级发展，有利于培育新产业、新动能，拉长增粗建筑产业链条，整体形成区域间产业合理分布和上下游联动机制，进一步打造辐射京津冀、服务雄安新区的产业园区。</w:t>
      </w:r>
    </w:p>
    <w:p>
      <w:pPr>
        <w:pStyle w:val="4"/>
        <w:rPr>
          <w:rFonts w:hint="default"/>
        </w:rPr>
      </w:pPr>
      <w:bookmarkStart w:id="10" w:name="_Toc63331845"/>
      <w:bookmarkStart w:id="11" w:name="_Toc61617575"/>
      <w:r>
        <w:rPr>
          <w:rFonts w:hint="eastAsia"/>
          <w:lang w:val="en-US" w:eastAsia="zh-CN"/>
        </w:rPr>
        <w:t>4.</w:t>
      </w:r>
      <w:r>
        <w:rPr>
          <w:rFonts w:hint="default"/>
        </w:rPr>
        <w:t>绿色低碳理念创造建筑业发展新空间</w:t>
      </w:r>
      <w:bookmarkEnd w:id="10"/>
      <w:bookmarkEnd w:id="11"/>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绿色建筑创建推动建筑质量性能提升。为贯彻落实习近平生态文明思想和党的十九大精神，国家相继印发了《绿色生活创建行动总体方案》、《绿色建筑创建行动方案》、《绿色社区创建行动方案》等文件，推动绿色建筑发展，提高星级绿色建筑比例，提升既有建筑能效，完善建筑健康性能，扩大绿色建材应用，推广绿色住宅使用者监督，人民群众积极参与绿色建筑创建活动，形成崇尚绿色生活的社会氛围。天津市处于绿色低碳发展的关键时期，印发了《天津市绿色建筑创建行动实施方案》，对绿色建筑创建行动进行全面部署，开展以城镇建筑作为创建对象的绿色建筑创建行动，推动天津市绿色建筑高质量发展。</w:t>
      </w:r>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装配式建筑发展带动建筑业转型升级。“十三五”期末，国家相继发布《关于推动智能建造与建筑工业化协同发展的指导意见》、《关于加快新型建筑工业化发展的若干意见》、《关于推进建筑垃圾减量化的指导意见》等一系列政策文件，从国家层面进一步加大了装配式建筑的发展力度，建立智能建造与建筑工业化协同发展的政策和产业体系，推广钢结构、装配化装修与信息技术融合发展的技术体系，推行工厂化预制、装配化施工、信息化管理的建造模式，推进建筑工业化、数字化、智能化升级，加快建造方式转变，实现工程建设高效益、高质量、低消耗、低排放的建筑工业化。</w:t>
      </w:r>
    </w:p>
    <w:p>
      <w:pPr>
        <w:pStyle w:val="4"/>
        <w:rPr>
          <w:rFonts w:hint="default"/>
        </w:rPr>
      </w:pPr>
      <w:bookmarkStart w:id="12" w:name="_Toc61617576"/>
      <w:bookmarkStart w:id="13" w:name="_Toc63331846"/>
      <w:r>
        <w:rPr>
          <w:rFonts w:hint="eastAsia"/>
          <w:lang w:val="en-US" w:eastAsia="zh-CN"/>
        </w:rPr>
        <w:t>5.</w:t>
      </w:r>
      <w:r>
        <w:rPr>
          <w:rFonts w:hint="default"/>
        </w:rPr>
        <w:t>新标准实施提出更精细化发展要求</w:t>
      </w:r>
      <w:bookmarkEnd w:id="12"/>
      <w:bookmarkEnd w:id="13"/>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2019年3月13日，住房与城乡建设部发布《绿色建筑评价标准》（GB/T50378-2019）。新版评价标准重新构建了绿色建筑评价指标体系，以评价标准倒逼设计环节，重构绿色建筑关键技术体系；调整了绿色建筑的评价阶段，取消设计评价，进一步关注建筑实际运行效果；增加绿色建筑基本级作为新的评价等级，扩大了绿色建筑覆盖面；融入建筑工业化、海绵城市、健康建筑、垃圾资源化利用、BIM应用等新理念新技术，极大拓展了绿色建筑内涵，整体对绿色建筑未来发展提出了更高要求。2017年12月12日，住房城乡建设部发布《装配式建筑评价标准》（GB/T51129-2017），对装配式建筑未来设计、施工、验收等多个环节提出了新的要求。</w:t>
      </w:r>
    </w:p>
    <w:p>
      <w:pPr>
        <w:pStyle w:val="3"/>
        <w:rPr>
          <w:rFonts w:hint="default"/>
        </w:rPr>
      </w:pPr>
      <w:bookmarkStart w:id="14" w:name="_Toc63331847"/>
      <w:bookmarkStart w:id="15" w:name="_Toc61617577"/>
      <w:r>
        <w:rPr>
          <w:rFonts w:hint="eastAsia"/>
          <w:lang w:eastAsia="zh-CN"/>
        </w:rPr>
        <w:t>（二）</w:t>
      </w:r>
      <w:r>
        <w:rPr>
          <w:rFonts w:hint="default"/>
        </w:rPr>
        <w:t>“十三五”工作成效</w:t>
      </w:r>
      <w:bookmarkEnd w:id="14"/>
      <w:bookmarkEnd w:id="15"/>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三五”期间，天津市高度重视建筑节能与绿色建筑发展工作，全面落实国务院和市政府关于节能减排的方针政策，把建筑节能与绿色建筑发展作为转变住房城乡建设发展方式、实现建筑业转型升级的重要举措来抓，超额完成了建筑节能“十三五”规划确定的各项工作目标，天津市绿色建筑和装配式建筑工作一直走在全国前列，先后获批为全国节能改造示范城市、公共建筑能效提升重点城市、装配式建筑示范城市等。法规政策和标准规范体系不断完善，</w:t>
      </w:r>
      <w:bookmarkStart w:id="16" w:name="_Toc26359996"/>
      <w:r>
        <w:rPr>
          <w:rFonts w:hint="default" w:ascii="Times New Roman" w:hAnsi="Times New Roman" w:eastAsia="仿宋" w:cs="Times New Roman"/>
          <w:bCs/>
          <w:sz w:val="32"/>
          <w:szCs w:val="32"/>
        </w:rPr>
        <w:t>新建建筑节能稳步推进</w:t>
      </w:r>
      <w:bookmarkEnd w:id="16"/>
      <w:r>
        <w:rPr>
          <w:rFonts w:hint="default" w:ascii="Times New Roman" w:hAnsi="Times New Roman" w:eastAsia="仿宋" w:cs="Times New Roman"/>
          <w:bCs/>
          <w:sz w:val="32"/>
          <w:szCs w:val="32"/>
        </w:rPr>
        <w:t>，</w:t>
      </w:r>
      <w:bookmarkStart w:id="17" w:name="_Toc26359997"/>
      <w:r>
        <w:rPr>
          <w:rFonts w:hint="default" w:ascii="Times New Roman" w:hAnsi="Times New Roman" w:eastAsia="仿宋" w:cs="Times New Roman"/>
          <w:bCs/>
          <w:sz w:val="32"/>
          <w:szCs w:val="32"/>
        </w:rPr>
        <w:t>绿色建筑蓬勃发展</w:t>
      </w:r>
      <w:bookmarkEnd w:id="17"/>
      <w:bookmarkStart w:id="18" w:name="_Toc26359998"/>
      <w:r>
        <w:rPr>
          <w:rFonts w:hint="default" w:ascii="Times New Roman" w:hAnsi="Times New Roman" w:eastAsia="仿宋" w:cs="Times New Roman"/>
          <w:bCs/>
          <w:sz w:val="32"/>
          <w:szCs w:val="32"/>
        </w:rPr>
        <w:t>，既有建筑节能改造深入推进</w:t>
      </w:r>
      <w:bookmarkEnd w:id="18"/>
      <w:bookmarkStart w:id="19" w:name="_Toc26359999"/>
      <w:r>
        <w:rPr>
          <w:rFonts w:hint="default" w:ascii="Times New Roman" w:hAnsi="Times New Roman" w:eastAsia="仿宋" w:cs="Times New Roman"/>
          <w:bCs/>
          <w:sz w:val="32"/>
          <w:szCs w:val="32"/>
        </w:rPr>
        <w:t>，可再生能源建筑应用发展态势良好</w:t>
      </w:r>
      <w:bookmarkEnd w:id="19"/>
      <w:r>
        <w:rPr>
          <w:rFonts w:hint="default" w:ascii="Times New Roman" w:hAnsi="Times New Roman" w:eastAsia="仿宋" w:cs="Times New Roman"/>
          <w:bCs/>
          <w:sz w:val="32"/>
          <w:szCs w:val="32"/>
        </w:rPr>
        <w:t>，为天津市生态城市和美丽天津建设创造了条件。</w:t>
      </w:r>
    </w:p>
    <w:p>
      <w:pPr>
        <w:pStyle w:val="4"/>
        <w:rPr>
          <w:rFonts w:hint="default"/>
        </w:rPr>
      </w:pPr>
      <w:bookmarkStart w:id="20" w:name="_Toc61617578"/>
      <w:bookmarkStart w:id="21" w:name="_Toc63331848"/>
      <w:bookmarkStart w:id="22" w:name="_Toc50543341"/>
      <w:bookmarkStart w:id="23" w:name="_Toc50379474"/>
      <w:bookmarkStart w:id="24" w:name="_Toc26359995"/>
      <w:r>
        <w:rPr>
          <w:rFonts w:hint="eastAsia"/>
          <w:lang w:val="en-US" w:eastAsia="zh-CN"/>
        </w:rPr>
        <w:t>1.</w:t>
      </w:r>
      <w:r>
        <w:rPr>
          <w:rFonts w:hint="default"/>
        </w:rPr>
        <w:t>法规政策体系日趋完善</w:t>
      </w:r>
      <w:bookmarkEnd w:id="20"/>
      <w:bookmarkEnd w:id="21"/>
      <w:bookmarkEnd w:id="22"/>
      <w:bookmarkEnd w:id="23"/>
      <w:bookmarkEnd w:id="24"/>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出台了《天津市绿色建筑管理规定》，为我市发展建筑节能与绿色建筑提供保障。印发了《天津市建筑节能和绿色建筑“十三五”规划》、《天津市装配式建筑“十三五”发展规划》、《天津市关于大力发展装配式建筑的实施方案》等政策文件，重点落实“十三五”期间建筑节能、绿色建筑、装配式建筑等各项重点工作。发布了《关于推进高星级绿色建筑发展有关工作的通知》，以政府投资建筑、保障性住房、大型公共建筑为重点，推动重点领域的新建建筑逐步强制实施高星级绿色建筑标准，要求各区每年出让或划拨的土地实施高星级绿色建筑比例不低于30%。</w:t>
      </w:r>
    </w:p>
    <w:p>
      <w:pPr>
        <w:pStyle w:val="4"/>
        <w:rPr>
          <w:rFonts w:hint="default"/>
        </w:rPr>
      </w:pPr>
      <w:bookmarkStart w:id="25" w:name="_Toc63331849"/>
      <w:bookmarkStart w:id="26" w:name="_Toc61617579"/>
      <w:r>
        <w:rPr>
          <w:rFonts w:hint="eastAsia"/>
          <w:lang w:val="en-US" w:eastAsia="zh-CN"/>
        </w:rPr>
        <w:t>2.</w:t>
      </w:r>
      <w:r>
        <w:rPr>
          <w:rFonts w:hint="default"/>
        </w:rPr>
        <w:t>标准体系逐渐实现全覆盖</w:t>
      </w:r>
      <w:bookmarkEnd w:id="25"/>
      <w:bookmarkEnd w:id="26"/>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在标准建设方面，出台实施了《天津市绿色建筑工程验收规程》（DBT29-255-2018）、《天津市民用建筑空调系统节能运行技术规程》（DB/T29-239-2016）、《中新天津生态城绿色建筑评价标准》（DB/T 29-192-2016）、《中新天津生态城绿色施工技术管理规程》（DB/T 29-198-2016）等一系列标准，逐步完善天津市建筑节能和绿色建筑相关标准体系。同时，我市不断研究完善财政激励政策，对建筑节能与绿色建筑示范项目、技术研究和标准制订等项目择优给予资金支持，加快了建筑节能与绿色建筑发展步伐。</w:t>
      </w:r>
    </w:p>
    <w:p>
      <w:pPr>
        <w:pStyle w:val="4"/>
        <w:rPr>
          <w:rFonts w:hint="default"/>
        </w:rPr>
      </w:pPr>
      <w:bookmarkStart w:id="27" w:name="_Toc63331850"/>
      <w:bookmarkStart w:id="28" w:name="_Toc50379475"/>
      <w:bookmarkStart w:id="29" w:name="_Toc61617580"/>
      <w:bookmarkStart w:id="30" w:name="_Toc50543342"/>
      <w:r>
        <w:rPr>
          <w:rFonts w:hint="eastAsia"/>
          <w:lang w:val="en-US" w:eastAsia="zh-CN"/>
        </w:rPr>
        <w:t>3.</w:t>
      </w:r>
      <w:r>
        <w:rPr>
          <w:rFonts w:hint="default"/>
        </w:rPr>
        <w:t>新建建筑节能减排稳步推进</w:t>
      </w:r>
      <w:bookmarkEnd w:id="27"/>
      <w:bookmarkEnd w:id="28"/>
      <w:bookmarkEnd w:id="29"/>
      <w:bookmarkEnd w:id="30"/>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三五”期间，我市大力推广超低能耗绿色建筑，积极开展示范工作，津南象博豪庭3号楼、生态城公屋二期及武清文荟创意园等三个项目被列为节能减排财政政策综合示范城市典型示范项目，示范项目共计3.2万平方米。“十三五”期间，我市新建民用建筑执行节能强制性标准率达到100%，累计建成民用节能建筑面积超过</w:t>
      </w:r>
      <w:r>
        <w:rPr>
          <w:rFonts w:hint="default" w:ascii="Times New Roman" w:hAnsi="Times New Roman" w:eastAsia="仿宋" w:cs="Times New Roman"/>
          <w:bCs/>
          <w:sz w:val="32"/>
          <w:szCs w:val="32"/>
          <w:lang w:val="en-US" w:eastAsia="zh-CN"/>
        </w:rPr>
        <w:t>1.5亿</w:t>
      </w:r>
      <w:r>
        <w:rPr>
          <w:rFonts w:hint="default" w:ascii="Times New Roman" w:hAnsi="Times New Roman" w:eastAsia="仿宋" w:cs="Times New Roman"/>
          <w:bCs/>
          <w:sz w:val="32"/>
          <w:szCs w:val="32"/>
        </w:rPr>
        <w:t>平方米。</w:t>
      </w:r>
    </w:p>
    <w:p>
      <w:pPr>
        <w:pStyle w:val="4"/>
        <w:rPr>
          <w:rFonts w:hint="default"/>
        </w:rPr>
      </w:pPr>
      <w:bookmarkStart w:id="31" w:name="_Toc50543343"/>
      <w:bookmarkStart w:id="32" w:name="_Toc50379476"/>
      <w:bookmarkStart w:id="33" w:name="_Toc61617581"/>
      <w:bookmarkStart w:id="34" w:name="_Toc63331851"/>
      <w:r>
        <w:rPr>
          <w:rFonts w:hint="eastAsia"/>
          <w:lang w:val="en-US" w:eastAsia="zh-CN"/>
        </w:rPr>
        <w:t>4.</w:t>
      </w:r>
      <w:r>
        <w:rPr>
          <w:rFonts w:hint="default"/>
        </w:rPr>
        <w:t>绿色建筑发展</w:t>
      </w:r>
      <w:bookmarkEnd w:id="31"/>
      <w:bookmarkEnd w:id="32"/>
      <w:r>
        <w:rPr>
          <w:rFonts w:hint="default"/>
        </w:rPr>
        <w:t>位居全国前列</w:t>
      </w:r>
      <w:bookmarkEnd w:id="33"/>
      <w:bookmarkEnd w:id="34"/>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“十三五”期间，天津市绿色建筑高速发展，我市新建民用建筑100%执行绿色建筑标准，新建绿色建筑超过1.7亿平方米，“十三五”</w:t>
      </w:r>
      <w:r>
        <w:rPr>
          <w:rFonts w:hint="default" w:ascii="Times New Roman" w:hAnsi="Times New Roman" w:eastAsia="仿宋" w:cs="Times New Roman"/>
          <w:bCs/>
          <w:sz w:val="32"/>
          <w:szCs w:val="32"/>
          <w:lang w:val="en-US" w:eastAsia="zh-CN"/>
        </w:rPr>
        <w:t>末</w:t>
      </w:r>
      <w:r>
        <w:rPr>
          <w:rFonts w:hint="default" w:ascii="Times New Roman" w:hAnsi="Times New Roman" w:eastAsia="仿宋" w:cs="Times New Roman"/>
          <w:bCs/>
          <w:sz w:val="32"/>
          <w:szCs w:val="32"/>
        </w:rPr>
        <w:t>城镇新建建筑中绿色建筑面积占比</w:t>
      </w:r>
      <w:r>
        <w:rPr>
          <w:rFonts w:hint="default" w:ascii="Times New Roman" w:hAnsi="Times New Roman" w:eastAsia="仿宋" w:cs="Times New Roman"/>
          <w:bCs/>
          <w:sz w:val="32"/>
          <w:szCs w:val="32"/>
          <w:lang w:val="en-US" w:eastAsia="zh-CN"/>
        </w:rPr>
        <w:t>70%以上</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绿色建筑</w:t>
      </w:r>
      <w:r>
        <w:rPr>
          <w:rFonts w:hint="default" w:ascii="Times New Roman" w:hAnsi="Times New Roman" w:eastAsia="仿宋" w:cs="Times New Roman"/>
          <w:bCs/>
          <w:sz w:val="32"/>
          <w:szCs w:val="32"/>
          <w:lang w:val="en-US" w:eastAsia="zh-CN"/>
        </w:rPr>
        <w:t>发展</w:t>
      </w:r>
      <w:r>
        <w:rPr>
          <w:rFonts w:hint="default" w:ascii="Times New Roman" w:hAnsi="Times New Roman" w:eastAsia="仿宋" w:cs="Times New Roman"/>
          <w:bCs/>
          <w:sz w:val="32"/>
          <w:szCs w:val="32"/>
        </w:rPr>
        <w:t>位居全国前列，实现了绿色建筑在我市全覆盖发展。全市累计获得绿色建筑评价标识项目337个，建筑面积达到3141万平方米，其中绿色建筑设计标识项目320个，绿色建筑运行标识项目17个。天津市建筑设计院新建业务用房及附属综合楼工程获得国家绿色建筑创新奖一等奖，天津大学新校区第一教学楼等4个项目获得国家绿色建筑创新奖二等奖，中海油天津研发产业基地建设项目等2个项目获得国家绿色建筑创新奖三等奖。针对高星级绿色建筑运行标识项目发布奖励通知，对11个高星级绿色建筑工程项目进行奖励，奖励金额总计2317.50万元。</w:t>
      </w:r>
    </w:p>
    <w:p>
      <w:pPr>
        <w:pStyle w:val="4"/>
        <w:rPr>
          <w:rFonts w:hint="default"/>
        </w:rPr>
      </w:pPr>
      <w:bookmarkStart w:id="35" w:name="_Toc63331852"/>
      <w:bookmarkStart w:id="36" w:name="_Toc61617582"/>
      <w:r>
        <w:rPr>
          <w:rFonts w:hint="eastAsia"/>
          <w:lang w:val="en-US" w:eastAsia="zh-CN"/>
        </w:rPr>
        <w:t>5.</w:t>
      </w:r>
      <w:r>
        <w:rPr>
          <w:rFonts w:hint="default"/>
        </w:rPr>
        <w:t>绿色建材应用比例逐步提高</w:t>
      </w:r>
      <w:bookmarkEnd w:id="35"/>
      <w:bookmarkEnd w:id="36"/>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三五”期间，我市先行先试，积极组织开展绿色建材和设备评价工作，逐步完善了绿色建材设备评价政策、标准体系，经我市组织评审、公示和批准，目前我市共有3家绿色建材评价机构和3家绿色设备评价机构。“十三五”期间，天津市共有40个产品获得绿色建材评价标识，8个产品获得绿色设备评价标识。新建建筑应用绿色建材比例逐步提高，绿色建材应用进一步扩大。</w:t>
      </w:r>
    </w:p>
    <w:p>
      <w:pPr>
        <w:pStyle w:val="4"/>
        <w:rPr>
          <w:rFonts w:hint="default"/>
        </w:rPr>
      </w:pPr>
      <w:bookmarkStart w:id="37" w:name="_Toc61617583"/>
      <w:bookmarkStart w:id="38" w:name="_Toc63331853"/>
      <w:r>
        <w:rPr>
          <w:rFonts w:hint="eastAsia"/>
          <w:lang w:val="en-US" w:eastAsia="zh-CN"/>
        </w:rPr>
        <w:t>6.</w:t>
      </w:r>
      <w:r>
        <w:rPr>
          <w:rFonts w:hint="default"/>
        </w:rPr>
        <w:t>绿色生态城区示范效应显著</w:t>
      </w:r>
      <w:bookmarkEnd w:id="37"/>
      <w:bookmarkEnd w:id="38"/>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三五”期间，“中新天津生态城”获得国家首批“绿色生态城区运营三星级标识”，推动了国家生态城区建设管理的高水平发展。借鉴“中新天津生态城”的发展经验，我市积极推动新建城镇按照绿色建筑集中示范区的要求进行规划、设计、施工、运营，其中东丽湖温泉度假旅游区、滨海新区南部生态新城、于家堡金融区绿色生态城区、静海团泊新城西区4个片区获得国家节能减排政策示范资金奖励，每个区域奖励5000万元，共计拨付2亿元。初步形成我市绿色生态的建设发展模式，整体生态环境得到提升。</w:t>
      </w:r>
    </w:p>
    <w:p>
      <w:pPr>
        <w:pStyle w:val="4"/>
        <w:rPr>
          <w:rFonts w:hint="default"/>
        </w:rPr>
      </w:pPr>
      <w:bookmarkStart w:id="39" w:name="_Toc61617584"/>
      <w:bookmarkStart w:id="40" w:name="_Toc50379477"/>
      <w:bookmarkStart w:id="41" w:name="_Toc63331854"/>
      <w:bookmarkStart w:id="42" w:name="_Toc50543344"/>
      <w:r>
        <w:rPr>
          <w:rFonts w:hint="eastAsia"/>
          <w:lang w:val="en-US" w:eastAsia="zh-CN"/>
        </w:rPr>
        <w:t>7.</w:t>
      </w:r>
      <w:r>
        <w:rPr>
          <w:rFonts w:hint="default"/>
        </w:rPr>
        <w:t>既有建筑能效提升深入推进</w:t>
      </w:r>
      <w:bookmarkEnd w:id="39"/>
      <w:bookmarkEnd w:id="40"/>
      <w:bookmarkEnd w:id="41"/>
      <w:bookmarkEnd w:id="42"/>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组织各区县开展了建筑能耗统计、能源审计和能耗公示工作，开展了能耗监测平台建设工作，为我市研究制订公共建筑能耗标准、推动既有建筑节能改造夯实了技术基础。此外，不断探索既有建筑节能改造方法，以抓试点、促推广为手段，通过合同能源管理等模式，采取政府发动、社会参与等多种方式，有效推进了既有建筑节能改造工作。“十三五”期间，我市累计完成既有居住建筑节能改造面积超过1200万平方米；完成天津医科大学总医院住院楼等既有公共建筑节能改造面积500万平方米，全面完成公共建筑能效提升重点城市建设目标任务。</w:t>
      </w:r>
    </w:p>
    <w:p>
      <w:pPr>
        <w:pStyle w:val="4"/>
        <w:rPr>
          <w:rFonts w:hint="default"/>
        </w:rPr>
      </w:pPr>
      <w:bookmarkStart w:id="43" w:name="_Toc50543346"/>
      <w:bookmarkStart w:id="44" w:name="_Toc50379479"/>
      <w:bookmarkStart w:id="45" w:name="_Toc61617585"/>
      <w:bookmarkStart w:id="46" w:name="_Toc63331855"/>
      <w:r>
        <w:rPr>
          <w:rFonts w:hint="eastAsia"/>
          <w:lang w:val="en-US" w:eastAsia="zh-CN"/>
        </w:rPr>
        <w:t>8.</w:t>
      </w:r>
      <w:r>
        <w:rPr>
          <w:rFonts w:hint="default"/>
        </w:rPr>
        <w:t>装配式建筑</w:t>
      </w:r>
      <w:bookmarkEnd w:id="43"/>
      <w:bookmarkEnd w:id="44"/>
      <w:r>
        <w:rPr>
          <w:rFonts w:hint="default"/>
        </w:rPr>
        <w:t>发展基础夯实</w:t>
      </w:r>
      <w:bookmarkEnd w:id="45"/>
      <w:bookmarkEnd w:id="46"/>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我市按照党中央、国务院和住房城乡建设部推进建筑产业现代化的要求，坚持以供给侧结构性改革为主线，围绕建筑业高质量发展总体目标，充分发挥政府和市场“两只手”的作用，积极推动装配式建筑发展并取得一定成效。基本建立了覆盖装配式建筑设计、生产、施工安装、竣工验收全过程标准体系，形成有效技术支撑。积极推动试点示范项目和产业基地建设。装配式建筑开工857万平方米，形成14个装配式建筑产业基地，静海区支持建立的“天津市现代建筑产业园”被住建部认定为园区类装配式建筑产业基地。“十三五”末，实现装配式建筑项目占当年新建开工量30%的目标。</w:t>
      </w:r>
    </w:p>
    <w:p>
      <w:pPr>
        <w:pStyle w:val="3"/>
        <w:rPr>
          <w:rFonts w:hint="default"/>
        </w:rPr>
      </w:pPr>
      <w:bookmarkStart w:id="47" w:name="_Toc26360000"/>
      <w:bookmarkStart w:id="48" w:name="_Toc63331856"/>
      <w:bookmarkStart w:id="49" w:name="_Toc61617586"/>
      <w:r>
        <w:rPr>
          <w:rFonts w:hint="eastAsia"/>
          <w:lang w:eastAsia="zh-CN"/>
        </w:rPr>
        <w:t>（三）</w:t>
      </w:r>
      <w:r>
        <w:rPr>
          <w:rFonts w:hint="default"/>
        </w:rPr>
        <w:t>存在问题</w:t>
      </w:r>
      <w:bookmarkEnd w:id="47"/>
      <w:bookmarkEnd w:id="48"/>
      <w:bookmarkEnd w:id="49"/>
    </w:p>
    <w:p>
      <w:pPr>
        <w:pStyle w:val="4"/>
        <w:rPr>
          <w:rFonts w:hint="default"/>
        </w:rPr>
      </w:pPr>
      <w:bookmarkStart w:id="50" w:name="_Toc26360001"/>
      <w:bookmarkStart w:id="51" w:name="_Toc63331857"/>
      <w:bookmarkStart w:id="52" w:name="_Toc61617587"/>
      <w:bookmarkStart w:id="53" w:name="_Toc50379481"/>
      <w:bookmarkStart w:id="54" w:name="_Toc50543348"/>
      <w:r>
        <w:rPr>
          <w:rFonts w:hint="eastAsia"/>
          <w:lang w:val="en-US" w:eastAsia="zh-CN"/>
        </w:rPr>
        <w:t>1.</w:t>
      </w:r>
      <w:r>
        <w:rPr>
          <w:rFonts w:hint="default"/>
        </w:rPr>
        <w:t>绿色建筑高品质发展有待加强</w:t>
      </w:r>
      <w:bookmarkEnd w:id="50"/>
      <w:bookmarkEnd w:id="51"/>
      <w:bookmarkEnd w:id="52"/>
      <w:bookmarkEnd w:id="53"/>
      <w:bookmarkEnd w:id="54"/>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目前，天津市新建民用建筑全面执行绿色建筑标准，绿色建筑具备一定的体量规模。但已建成的绿色建筑中，部分仅停留在设计阶段的绿色，建成后绿色设备设施运行不善、停用甚至弃用，后期缺乏科学的运营管理。因此，难以实现真正意义上的节能与绿色。加快转变绿色建筑“重数量、轻品质；重设计、轻运营”的传统发展模式，加强绿色建筑使用阶段的运营管理，加强政府监管，全面提升绿色建筑品质，十分迫切而意义深远。</w:t>
      </w:r>
    </w:p>
    <w:p>
      <w:pPr>
        <w:pStyle w:val="4"/>
        <w:rPr>
          <w:rFonts w:hint="default"/>
        </w:rPr>
      </w:pPr>
      <w:bookmarkStart w:id="55" w:name="_Toc50543349"/>
      <w:bookmarkStart w:id="56" w:name="_Toc50379482"/>
      <w:bookmarkStart w:id="57" w:name="_Toc63331858"/>
      <w:bookmarkStart w:id="58" w:name="_Toc61617588"/>
      <w:r>
        <w:rPr>
          <w:rFonts w:hint="eastAsia"/>
          <w:lang w:val="en-US" w:eastAsia="zh-CN"/>
        </w:rPr>
        <w:t>2.</w:t>
      </w:r>
      <w:r>
        <w:rPr>
          <w:rFonts w:hint="default"/>
        </w:rPr>
        <w:t>装配式建筑</w:t>
      </w:r>
      <w:bookmarkEnd w:id="55"/>
      <w:bookmarkEnd w:id="56"/>
      <w:r>
        <w:rPr>
          <w:rFonts w:hint="default"/>
        </w:rPr>
        <w:t>设计标准化程度有待提高</w:t>
      </w:r>
      <w:bookmarkEnd w:id="57"/>
      <w:bookmarkEnd w:id="58"/>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在装配式建筑实施过程中，仍面临着一些需要解决的问题，如标准化、模数化设计程度有待进一步提高。在市场环境下，需要政府进一步引导各方主体形成统一认识，解决阻碍装配式建筑发展的实际问题，制定兼具前瞻性、引领性、实操性、落地性的发展规划，出台政策引导文件，对标准化设计、规模化生产起到实质性的指导作用，提高装配式建筑标准程度，继续保持天津市装配式建筑工作处于全国的先进行列。</w:t>
      </w:r>
    </w:p>
    <w:p>
      <w:pPr>
        <w:pStyle w:val="4"/>
        <w:rPr>
          <w:rFonts w:hint="default"/>
        </w:rPr>
      </w:pPr>
      <w:bookmarkStart w:id="59" w:name="_Toc50379484"/>
      <w:bookmarkStart w:id="60" w:name="_Toc50543351"/>
      <w:bookmarkStart w:id="61" w:name="_Toc61617589"/>
      <w:bookmarkStart w:id="62" w:name="_Toc26360004"/>
      <w:bookmarkStart w:id="63" w:name="_Toc63331859"/>
      <w:r>
        <w:rPr>
          <w:rFonts w:hint="eastAsia"/>
          <w:lang w:val="en-US" w:eastAsia="zh-CN"/>
        </w:rPr>
        <w:t>3.</w:t>
      </w:r>
      <w:r>
        <w:rPr>
          <w:rFonts w:hint="default"/>
        </w:rPr>
        <w:t>信息化服务支撑能力有待提升</w:t>
      </w:r>
      <w:bookmarkEnd w:id="59"/>
      <w:bookmarkEnd w:id="60"/>
      <w:bookmarkEnd w:id="61"/>
      <w:bookmarkEnd w:id="62"/>
      <w:bookmarkEnd w:id="63"/>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虽然建立了市级能耗监测平台，但数据价值尚未充分显现。当前，大数据与人工智能等技术发展迅速，但充分利用智慧化技术实现建筑能效提升的促进与管理机制欠缺，标准化技术手段尚未形成，存在对数据利用程度低、利用方式模糊的问题，对能耗限额管理、节水管理、合同能源管理模式的发展并未起到有效支撑作用，智慧化技术与绿色建筑发展在政策、标准、工程实施等方面的有机融合力度尚需不断加强。</w:t>
      </w:r>
    </w:p>
    <w:p>
      <w:pPr>
        <w:pStyle w:val="4"/>
        <w:rPr>
          <w:rFonts w:hint="default"/>
        </w:rPr>
      </w:pPr>
      <w:bookmarkStart w:id="64" w:name="_Toc63331860"/>
      <w:bookmarkStart w:id="65" w:name="_Toc61617590"/>
      <w:r>
        <w:rPr>
          <w:rFonts w:hint="eastAsia"/>
          <w:lang w:val="en-US" w:eastAsia="zh-CN"/>
        </w:rPr>
        <w:t>4.</w:t>
      </w:r>
      <w:r>
        <w:rPr>
          <w:rFonts w:hint="default"/>
        </w:rPr>
        <w:t>绿色理念宣传尚需加强</w:t>
      </w:r>
      <w:bookmarkEnd w:id="64"/>
      <w:bookmarkEnd w:id="65"/>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三五”期间，我市通过建立绿色建筑宣传示范基地、媒体宣传等方式，进一步扩大了绿色理念的影响范围，取得了一定成效。但是目前绿色发展人人有责的浓厚氛围不够浓厚，重点是市场主体对发展绿色建筑意识还需要加强，企业和公众对绿色发展的重要性认识仍有待提升，需要进一步完善企业和公众参与制度，加强绿色理念宣传。</w:t>
      </w:r>
    </w:p>
    <w:p>
      <w:pPr>
        <w:pStyle w:val="2"/>
        <w:spacing w:before="286" w:beforeLines="100" w:after="286" w:afterLines="100" w:line="360" w:lineRule="auto"/>
        <w:rPr>
          <w:rFonts w:hint="default" w:ascii="Times New Roman" w:hAnsi="Times New Roman" w:eastAsia="仿宋" w:cs="Times New Roman"/>
          <w:b w:val="0"/>
          <w:sz w:val="32"/>
          <w:szCs w:val="32"/>
        </w:rPr>
      </w:pPr>
      <w:bookmarkStart w:id="66" w:name="_Toc63331861"/>
      <w:bookmarkStart w:id="67" w:name="_Toc61617591"/>
      <w:r>
        <w:rPr>
          <w:rFonts w:hint="default" w:ascii="Times New Roman" w:hAnsi="Times New Roman" w:eastAsia="黑体" w:cs="Times New Roman"/>
          <w:b w:val="0"/>
          <w:sz w:val="32"/>
          <w:szCs w:val="32"/>
        </w:rPr>
        <w:t>二、“十四五”规划指导思想、工作原则和发展目标</w:t>
      </w:r>
      <w:bookmarkEnd w:id="66"/>
      <w:bookmarkEnd w:id="67"/>
    </w:p>
    <w:p>
      <w:pPr>
        <w:pStyle w:val="3"/>
        <w:rPr>
          <w:rFonts w:hint="default"/>
        </w:rPr>
      </w:pPr>
      <w:bookmarkStart w:id="68" w:name="_Toc63331862"/>
      <w:bookmarkStart w:id="69" w:name="_Toc61617592"/>
      <w:r>
        <w:rPr>
          <w:rFonts w:hint="eastAsia"/>
          <w:lang w:eastAsia="zh-CN"/>
        </w:rPr>
        <w:t>（一）</w:t>
      </w:r>
      <w:r>
        <w:rPr>
          <w:rFonts w:hint="default"/>
        </w:rPr>
        <w:t>指导思想</w:t>
      </w:r>
      <w:bookmarkEnd w:id="68"/>
      <w:bookmarkEnd w:id="69"/>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全面贯彻党的十九大和十九届三中、四中全会、五中全会以及中央城镇化工作会议、中央城市工作会议精神，深入贯彻习近平总书记系列重要讲话精神和对天津工作“三个着力”重要要求，认真落实市委市政府决策部署以及《天津市国民经济和社会发展第十四个五年规划和二〇三五年远景目标纲要》精神，紧紧围绕扎实推进“五位一体”总体布局、“四个全面”战略布局，牢固树立并贯彻落实新发展理念，按照高质量发展的要求，加快推进绿色建筑、装配式建筑、建筑节能等领域体制机制创新升级，推进技术创新和制度创新，强化产业基地生产能力，高标准、高质量推进天津市绿色建筑和装配式建筑工作，推动建筑业转型升级和可持续发展，全面减少建筑领域碳排放，努力建设生态低碳型美丽天津。</w:t>
      </w:r>
    </w:p>
    <w:p>
      <w:pPr>
        <w:pStyle w:val="3"/>
        <w:rPr>
          <w:rFonts w:hint="default"/>
        </w:rPr>
      </w:pPr>
      <w:bookmarkStart w:id="70" w:name="_Toc61617593"/>
      <w:bookmarkStart w:id="71" w:name="_Toc63331863"/>
      <w:r>
        <w:rPr>
          <w:rFonts w:hint="eastAsia"/>
          <w:lang w:eastAsia="zh-CN"/>
        </w:rPr>
        <w:t>（二）</w:t>
      </w:r>
      <w:r>
        <w:rPr>
          <w:rFonts w:hint="default"/>
        </w:rPr>
        <w:t>基本原则</w:t>
      </w:r>
      <w:bookmarkEnd w:id="70"/>
      <w:bookmarkEnd w:id="71"/>
    </w:p>
    <w:p>
      <w:pPr>
        <w:pStyle w:val="4"/>
        <w:rPr>
          <w:rFonts w:hint="default"/>
        </w:rPr>
      </w:pPr>
      <w:bookmarkStart w:id="72" w:name="_Toc61617594"/>
      <w:bookmarkStart w:id="73" w:name="_Toc63331864"/>
      <w:bookmarkStart w:id="74" w:name="_Toc26360012"/>
      <w:r>
        <w:rPr>
          <w:rFonts w:hint="eastAsia"/>
          <w:lang w:val="en-US" w:eastAsia="zh-CN"/>
        </w:rPr>
        <w:t>1.</w:t>
      </w:r>
      <w:r>
        <w:rPr>
          <w:rFonts w:hint="default"/>
        </w:rPr>
        <w:t>因地制宜、体现特色</w:t>
      </w:r>
      <w:bookmarkEnd w:id="72"/>
      <w:bookmarkEnd w:id="73"/>
      <w:bookmarkEnd w:id="74"/>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根据天津市资源、气候、经济、文化等特点，科学确定不同区域的绿色建筑、装配式建筑适宜技术，体现地方特色，实现城乡统筹、合理规划、精细设计；根据行业发展导向，各区在推进绿色建筑、装配式建筑过程中，提倡因地制宜、持续健康发展；根据产业发展水平、产业链支撑能力，制定切实可行的发展目标和规划。</w:t>
      </w:r>
    </w:p>
    <w:p>
      <w:pPr>
        <w:pStyle w:val="4"/>
        <w:rPr>
          <w:rFonts w:hint="default"/>
        </w:rPr>
      </w:pPr>
      <w:bookmarkStart w:id="75" w:name="_Toc63331865"/>
      <w:bookmarkStart w:id="76" w:name="_Toc61617595"/>
      <w:bookmarkStart w:id="77" w:name="_Toc26360013"/>
      <w:r>
        <w:rPr>
          <w:rFonts w:hint="eastAsia"/>
          <w:lang w:val="en-US" w:eastAsia="zh-CN"/>
        </w:rPr>
        <w:t>2.</w:t>
      </w:r>
      <w:r>
        <w:rPr>
          <w:rFonts w:hint="default"/>
        </w:rPr>
        <w:t>立足当前、着眼长远</w:t>
      </w:r>
      <w:bookmarkEnd w:id="75"/>
      <w:bookmarkEnd w:id="76"/>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坚持目标导向和问题导向相统一，立足当前，着眼于打造绿色、安全、高效、智能的建筑体系长远目标，把解决当前问题与长远发展结合起来，强化底线思维，系统谋划天津市绿色建筑及装配式建筑规划建设任务，解决当前建筑领域发展遇到瓶颈与薄弱环节，实现建造方式转型升级，提升建筑品质，满足人民群众美好生活需要。</w:t>
      </w:r>
    </w:p>
    <w:p>
      <w:pPr>
        <w:pStyle w:val="4"/>
        <w:rPr>
          <w:rFonts w:hint="default"/>
        </w:rPr>
      </w:pPr>
      <w:bookmarkStart w:id="247" w:name="_GoBack"/>
      <w:bookmarkEnd w:id="247"/>
      <w:bookmarkStart w:id="78" w:name="_Toc63331866"/>
      <w:bookmarkStart w:id="79" w:name="_Toc61617596"/>
      <w:r>
        <w:rPr>
          <w:rFonts w:hint="eastAsia"/>
          <w:lang w:val="en-US" w:eastAsia="zh-CN"/>
        </w:rPr>
        <w:t>3.</w:t>
      </w:r>
      <w:r>
        <w:rPr>
          <w:rFonts w:hint="default"/>
        </w:rPr>
        <w:t>政府引导、市场运作</w:t>
      </w:r>
      <w:bookmarkEnd w:id="77"/>
      <w:bookmarkEnd w:id="78"/>
      <w:bookmarkEnd w:id="79"/>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强化政府引导作用和服务功能，建立科学合理的管理制度，用政策、法规、标准等措施从总体上进行把控，综合运用财政、金融等经济手段，引领发展方向。充分利用市场调节作用，建立多元化的投、融资机制和市场拉动机制，构建适宜的绿色建筑政策机制和运行模式，建立多层次、多元化的绿色建筑服务体系，以市场推动绿色建筑发展。</w:t>
      </w:r>
    </w:p>
    <w:p>
      <w:pPr>
        <w:pStyle w:val="4"/>
        <w:rPr>
          <w:rFonts w:hint="default"/>
        </w:rPr>
      </w:pPr>
      <w:bookmarkStart w:id="80" w:name="_Toc63331867"/>
      <w:bookmarkStart w:id="81" w:name="_Toc61617597"/>
      <w:r>
        <w:rPr>
          <w:rFonts w:hint="eastAsia"/>
          <w:lang w:val="en-US" w:eastAsia="zh-CN"/>
        </w:rPr>
        <w:t>4.</w:t>
      </w:r>
      <w:r>
        <w:rPr>
          <w:rFonts w:hint="default"/>
        </w:rPr>
        <w:t>科技创新、产业发展</w:t>
      </w:r>
      <w:bookmarkEnd w:id="80"/>
      <w:bookmarkEnd w:id="81"/>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以科技为先导，着力提升自主创新能力，积极研发、引进、消化吸收国内外先进技术。充分发挥京津冀地区基础资源和优势特色，积极承接北京产业外溢，对接北京和雄安新区产业需求，加快天津市绿色建筑、装配式建筑相关产业配套发展，形成规模化、标准化的优势产业集群和产业链。</w:t>
      </w:r>
    </w:p>
    <w:p>
      <w:pPr>
        <w:pStyle w:val="3"/>
        <w:rPr>
          <w:rFonts w:hint="default"/>
        </w:rPr>
      </w:pPr>
      <w:bookmarkStart w:id="82" w:name="_Toc63331868"/>
      <w:bookmarkStart w:id="83" w:name="_Toc61617598"/>
      <w:r>
        <w:rPr>
          <w:rFonts w:hint="eastAsia"/>
          <w:lang w:eastAsia="zh-CN"/>
        </w:rPr>
        <w:t>（三）</w:t>
      </w:r>
      <w:r>
        <w:rPr>
          <w:rFonts w:hint="default"/>
        </w:rPr>
        <w:t>发展目标</w:t>
      </w:r>
      <w:bookmarkEnd w:id="82"/>
      <w:bookmarkEnd w:id="83"/>
    </w:p>
    <w:p>
      <w:pPr>
        <w:pStyle w:val="4"/>
        <w:rPr>
          <w:rFonts w:hint="default"/>
        </w:rPr>
      </w:pPr>
      <w:bookmarkStart w:id="84" w:name="_Toc26360016"/>
      <w:bookmarkStart w:id="85" w:name="_Toc61617599"/>
      <w:bookmarkStart w:id="86" w:name="_Toc63331869"/>
      <w:r>
        <w:rPr>
          <w:rFonts w:hint="eastAsia"/>
          <w:lang w:val="en-US" w:eastAsia="zh-CN"/>
        </w:rPr>
        <w:t>1.</w:t>
      </w:r>
      <w:r>
        <w:rPr>
          <w:rFonts w:hint="default"/>
        </w:rPr>
        <w:t>总体目标</w:t>
      </w:r>
      <w:bookmarkEnd w:id="84"/>
      <w:bookmarkEnd w:id="85"/>
      <w:bookmarkEnd w:id="86"/>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四五”期间，巩固和发展天津市“十三五”期间绿色建筑和装配式建筑所取得的工作成果，基于我国“二氧化碳排放力争于2030年前达到峰值”的发展目标，树立创新、协调、绿色、开放、共享的新发展理念，重点推进绿色建筑优质发展、建筑能效深度提升、新型建筑工业化三大发展任务，促进建筑运行“绿色化”、“低碳化”，使天津市绿色建筑工作成为城市建设的新亮点，并继续保持全国领先水平。</w:t>
      </w:r>
    </w:p>
    <w:p>
      <w:pPr>
        <w:pStyle w:val="4"/>
        <w:rPr>
          <w:rFonts w:hint="default"/>
        </w:rPr>
      </w:pPr>
      <w:bookmarkStart w:id="87" w:name="_Toc26360017"/>
      <w:bookmarkStart w:id="88" w:name="_Toc63331870"/>
      <w:bookmarkStart w:id="89" w:name="_Toc61617600"/>
      <w:r>
        <w:rPr>
          <w:rFonts w:hint="eastAsia"/>
          <w:lang w:val="en-US" w:eastAsia="zh-CN"/>
        </w:rPr>
        <w:t>2.</w:t>
      </w:r>
      <w:r>
        <w:rPr>
          <w:rFonts w:hint="default"/>
        </w:rPr>
        <w:t>具体目标</w:t>
      </w:r>
      <w:bookmarkEnd w:id="87"/>
      <w:bookmarkEnd w:id="88"/>
      <w:bookmarkEnd w:id="89"/>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从绿色建筑、建筑能效提升、装配式建筑等方面制定具体发展目标。</w:t>
      </w:r>
    </w:p>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“十四五”期间绿色建筑规划具体目标</w:t>
      </w:r>
    </w:p>
    <w:tbl>
      <w:tblPr>
        <w:tblStyle w:val="40"/>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400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重点任务</w:t>
            </w:r>
          </w:p>
        </w:tc>
        <w:tc>
          <w:tcPr>
            <w:tcW w:w="4007"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主要指标</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2025年</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vMerge w:val="restart"/>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绿色建筑</w:t>
            </w:r>
          </w:p>
        </w:tc>
        <w:tc>
          <w:tcPr>
            <w:tcW w:w="4007" w:type="dxa"/>
            <w:vAlign w:val="center"/>
          </w:tcPr>
          <w:p>
            <w:pPr>
              <w:pStyle w:val="46"/>
              <w:ind w:firstLine="0" w:firstLineChars="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当年城镇新建建筑中绿色建筑面积占比（%）</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100%</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vMerge w:val="continue"/>
            <w:vAlign w:val="center"/>
          </w:tcPr>
          <w:p>
            <w:pPr>
              <w:pStyle w:val="46"/>
              <w:ind w:firstLine="0" w:firstLineChars="0"/>
              <w:jc w:val="center"/>
              <w:rPr>
                <w:rFonts w:hint="default" w:ascii="Times New Roman" w:hAnsi="Times New Roman" w:eastAsia="仿宋" w:cs="Times New Roman"/>
                <w:bCs/>
                <w:sz w:val="32"/>
                <w:szCs w:val="32"/>
              </w:rPr>
            </w:pPr>
          </w:p>
        </w:tc>
        <w:tc>
          <w:tcPr>
            <w:tcW w:w="4007" w:type="dxa"/>
            <w:vAlign w:val="center"/>
          </w:tcPr>
          <w:p>
            <w:pPr>
              <w:pStyle w:val="46"/>
              <w:ind w:firstLine="0" w:firstLineChars="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一星级及以上等级绿色建筑占城镇新增绿色建筑比例（%）</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30%</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21" w:type="dxa"/>
            <w:vMerge w:val="continue"/>
            <w:vAlign w:val="center"/>
          </w:tcPr>
          <w:p>
            <w:pPr>
              <w:pStyle w:val="46"/>
              <w:ind w:firstLine="0" w:firstLineChars="0"/>
              <w:jc w:val="center"/>
              <w:rPr>
                <w:rFonts w:hint="default" w:ascii="Times New Roman" w:hAnsi="Times New Roman" w:eastAsia="仿宋" w:cs="Times New Roman"/>
                <w:bCs/>
                <w:sz w:val="32"/>
                <w:szCs w:val="32"/>
              </w:rPr>
            </w:pPr>
          </w:p>
        </w:tc>
        <w:tc>
          <w:tcPr>
            <w:tcW w:w="4007" w:type="dxa"/>
            <w:vAlign w:val="center"/>
          </w:tcPr>
          <w:p>
            <w:pPr>
              <w:pStyle w:val="46"/>
              <w:ind w:firstLine="0" w:firstLineChars="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新建绿色生态城区（个）</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1~2</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vMerge w:val="restart"/>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建筑能效提升</w:t>
            </w:r>
          </w:p>
        </w:tc>
        <w:tc>
          <w:tcPr>
            <w:tcW w:w="4007" w:type="dxa"/>
            <w:vAlign w:val="center"/>
          </w:tcPr>
          <w:p>
            <w:pPr>
              <w:pStyle w:val="46"/>
              <w:ind w:firstLine="0" w:firstLineChars="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新建居住建筑五步节能设计标准执行比例（%）</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100</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1" w:type="dxa"/>
            <w:vMerge w:val="continue"/>
            <w:vAlign w:val="center"/>
          </w:tcPr>
          <w:p>
            <w:pPr>
              <w:pStyle w:val="46"/>
              <w:ind w:firstLine="0" w:firstLineChars="0"/>
              <w:jc w:val="center"/>
              <w:rPr>
                <w:rFonts w:hint="default" w:ascii="Times New Roman" w:hAnsi="Times New Roman" w:eastAsia="仿宋" w:cs="Times New Roman"/>
                <w:bCs/>
                <w:sz w:val="32"/>
                <w:szCs w:val="32"/>
              </w:rPr>
            </w:pPr>
          </w:p>
        </w:tc>
        <w:tc>
          <w:tcPr>
            <w:tcW w:w="4007" w:type="dxa"/>
            <w:vAlign w:val="center"/>
          </w:tcPr>
          <w:p>
            <w:pPr>
              <w:pStyle w:val="46"/>
              <w:ind w:firstLine="0" w:firstLineChars="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公共建筑能效提升改造面积（万平方米）</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150</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21"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装配式</w:t>
            </w:r>
          </w:p>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建筑</w:t>
            </w:r>
          </w:p>
        </w:tc>
        <w:tc>
          <w:tcPr>
            <w:tcW w:w="4007" w:type="dxa"/>
            <w:vAlign w:val="center"/>
          </w:tcPr>
          <w:p>
            <w:pPr>
              <w:pStyle w:val="46"/>
              <w:ind w:firstLine="0" w:firstLineChars="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全市国有建设用地新建民用建筑实施装配式建筑比例（%）</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100</w:t>
            </w:r>
          </w:p>
        </w:tc>
        <w:tc>
          <w:tcPr>
            <w:tcW w:w="1276" w:type="dxa"/>
            <w:vAlign w:val="center"/>
          </w:tcPr>
          <w:p>
            <w:pPr>
              <w:pStyle w:val="46"/>
              <w:ind w:firstLine="0" w:firstLineChars="0"/>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约束性</w:t>
            </w:r>
          </w:p>
        </w:tc>
      </w:tr>
    </w:tbl>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——绿色建筑发展，到2025年当年城镇新建建筑中绿色建筑面积占比达到100%，不断提升星级绿色建筑占比。引入绿色金融保险机制，加强绿色建筑竣工验收及运行监管。</w:t>
      </w:r>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——绿色生态城区，推进已获批绿色生态城区试点项目规划目标落地，鼓励新建城区申报绿色生态城区，到2025年，建设1~2个绿色生态城区。</w:t>
      </w:r>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——新建建筑能效提升，新建居住建筑在全国率先执行五步节能设计标准，执行比例达到100%，试点推行超低能耗及近零能耗建筑，不断提升天津市新建建筑能效水平。</w:t>
      </w:r>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——既有建筑能效提升，2022年全市60%以上的社区参与绿色社区创建行动并达到要求，推进公共建筑能效提升重点城市建设，实施公共建筑能效提升改造面积150万平方米以上。</w:t>
      </w:r>
    </w:p>
    <w:p>
      <w:pPr>
        <w:pStyle w:val="46"/>
        <w:ind w:firstLine="620"/>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——装配式建筑普及推广，全市范围内国有建设用地新建居住建筑和公共建筑全部实施装配式建筑。</w:t>
      </w:r>
    </w:p>
    <w:p>
      <w:pPr>
        <w:pStyle w:val="2"/>
        <w:spacing w:before="286" w:beforeLines="100" w:after="286" w:afterLines="100" w:line="360" w:lineRule="auto"/>
        <w:rPr>
          <w:rFonts w:hint="default" w:ascii="Times New Roman" w:hAnsi="Times New Roman" w:eastAsia="仿宋" w:cs="Times New Roman"/>
          <w:b w:val="0"/>
          <w:sz w:val="32"/>
          <w:szCs w:val="32"/>
        </w:rPr>
      </w:pPr>
      <w:bookmarkStart w:id="90" w:name="_Toc63331871"/>
      <w:bookmarkStart w:id="91" w:name="_Toc61617601"/>
      <w:r>
        <w:rPr>
          <w:rFonts w:hint="default" w:ascii="Times New Roman" w:hAnsi="Times New Roman" w:eastAsia="黑体" w:cs="Times New Roman"/>
          <w:b w:val="0"/>
          <w:sz w:val="32"/>
          <w:szCs w:val="32"/>
        </w:rPr>
        <w:t>三、“十四五”规划重点任务</w:t>
      </w:r>
      <w:bookmarkEnd w:id="90"/>
      <w:bookmarkEnd w:id="91"/>
    </w:p>
    <w:p>
      <w:pPr>
        <w:pStyle w:val="3"/>
        <w:rPr>
          <w:rFonts w:hint="default"/>
        </w:rPr>
      </w:pPr>
      <w:bookmarkStart w:id="92" w:name="_Toc61617602"/>
      <w:bookmarkStart w:id="93" w:name="_Toc63331872"/>
      <w:r>
        <w:rPr>
          <w:rFonts w:hint="eastAsia"/>
          <w:lang w:eastAsia="zh-CN"/>
        </w:rPr>
        <w:t>（一）</w:t>
      </w:r>
      <w:r>
        <w:rPr>
          <w:rFonts w:hint="default"/>
        </w:rPr>
        <w:t>深入推动绿色建筑优质发展</w:t>
      </w:r>
      <w:bookmarkEnd w:id="92"/>
      <w:bookmarkEnd w:id="93"/>
    </w:p>
    <w:p>
      <w:pPr>
        <w:pStyle w:val="4"/>
        <w:rPr>
          <w:rFonts w:hint="default"/>
        </w:rPr>
      </w:pPr>
      <w:bookmarkStart w:id="94" w:name="_Toc56519769"/>
      <w:bookmarkStart w:id="95" w:name="_Toc55917100"/>
      <w:bookmarkStart w:id="96" w:name="_Toc61619896"/>
      <w:bookmarkStart w:id="97" w:name="_Toc52300770"/>
      <w:bookmarkStart w:id="98" w:name="_Toc61617603"/>
      <w:bookmarkStart w:id="99" w:name="_Toc50379500"/>
      <w:bookmarkStart w:id="100" w:name="_Toc53130177"/>
      <w:bookmarkStart w:id="101" w:name="_Toc50543367"/>
      <w:bookmarkStart w:id="102" w:name="_Toc58838567"/>
      <w:bookmarkStart w:id="103" w:name="_Toc52310498"/>
      <w:bookmarkStart w:id="104" w:name="_Toc63331873"/>
      <w:r>
        <w:rPr>
          <w:rFonts w:hint="eastAsia"/>
          <w:lang w:val="en-US" w:eastAsia="zh-CN"/>
        </w:rPr>
        <w:t>1.</w:t>
      </w:r>
      <w:r>
        <w:rPr>
          <w:rFonts w:hint="default"/>
        </w:rPr>
        <w:t>强绿色建筑标准引领，强化绿色建筑监管机制</w:t>
      </w:r>
      <w:bookmarkEnd w:id="94"/>
      <w:bookmarkEnd w:id="95"/>
      <w:bookmarkEnd w:id="96"/>
      <w:bookmarkEnd w:id="97"/>
      <w:bookmarkEnd w:id="98"/>
      <w:bookmarkEnd w:id="99"/>
      <w:bookmarkEnd w:id="100"/>
      <w:bookmarkEnd w:id="101"/>
      <w:bookmarkEnd w:id="102"/>
      <w:bookmarkEnd w:id="103"/>
      <w:bookmarkEnd w:id="104"/>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推进绿色建筑标准体系制定与实施。积极推进京津冀协同地方标准《绿色建筑评价标准》《绿色建筑设计标准》编制及实施，将绿色建筑基本要求纳入工程建设强制规范；全面推进新建民用建筑执行绿色建筑设计标准，加强绿色建筑施工图专项审查，到2022年，当年城镇新建建筑中绿色建筑面积占比达到80%，到2025年，达到100%。持续扩大星级绿色建筑规模，鼓励星级绿色建筑建设，政府投资的保障性住房、学校、医院等公益性建筑、大于2万平方米的大型公共建筑以及大于10万平方米的住宅小区按照绿色建筑一星级及以上标准设计和运行，不断提升星级绿色建筑占比。</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加强绿色建筑标识管理。修订完善天津市绿色建筑标识管理制度，落实绿色建筑评价标识三级管理要求，做好三星级绿色建筑标识初审上报及二星级绿色建筑标识评价工作，指导各区住房建设管理部门开展一星级绿色建筑标识评价工作；加快研究制定天津市绿色建筑管理条例，推动绿色建筑发展依法管理；加强绿色建筑标识认证信息化管理，对接国家绿色建筑标识管理平台，提高绿色建筑标识认证管理成效。</w:t>
      </w:r>
    </w:p>
    <w:p>
      <w:pPr>
        <w:pStyle w:val="4"/>
        <w:rPr>
          <w:rFonts w:hint="default"/>
        </w:rPr>
      </w:pPr>
      <w:bookmarkStart w:id="105" w:name="_Toc50543368"/>
      <w:bookmarkStart w:id="106" w:name="_Toc50379501"/>
      <w:bookmarkStart w:id="107" w:name="_Toc63331874"/>
      <w:bookmarkStart w:id="108" w:name="_Toc61617604"/>
      <w:bookmarkStart w:id="109" w:name="_Toc53130178"/>
      <w:bookmarkStart w:id="110" w:name="_Toc56519770"/>
      <w:bookmarkStart w:id="111" w:name="_Toc58838568"/>
      <w:bookmarkStart w:id="112" w:name="_Toc52310499"/>
      <w:bookmarkStart w:id="113" w:name="_Toc61619897"/>
      <w:bookmarkStart w:id="114" w:name="_Toc52300771"/>
      <w:bookmarkStart w:id="115" w:name="_Toc55917101"/>
      <w:r>
        <w:rPr>
          <w:rFonts w:hint="eastAsia"/>
          <w:lang w:val="en-US" w:eastAsia="zh-CN"/>
        </w:rPr>
        <w:t>2.</w:t>
      </w:r>
      <w:r>
        <w:rPr>
          <w:rFonts w:hint="default"/>
        </w:rPr>
        <w:t>建立高品质绿色建筑激励政策，鼓励绿色金融</w:t>
      </w:r>
      <w:bookmarkEnd w:id="105"/>
      <w:bookmarkEnd w:id="106"/>
      <w:r>
        <w:rPr>
          <w:rFonts w:hint="default"/>
        </w:rPr>
        <w:t>创新发展</w:t>
      </w:r>
      <w:bookmarkEnd w:id="107"/>
      <w:bookmarkEnd w:id="108"/>
      <w:bookmarkEnd w:id="109"/>
      <w:bookmarkEnd w:id="110"/>
      <w:bookmarkEnd w:id="111"/>
      <w:bookmarkEnd w:id="112"/>
      <w:bookmarkEnd w:id="113"/>
      <w:bookmarkEnd w:id="114"/>
      <w:bookmarkEnd w:id="115"/>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健全绿色建筑激励政策措施。鼓励金融机构建立差异化的授信管理机制，对不同星级的绿色建筑在施工、销售等阶段，提供差异化的授信政策支持和金融服务；鼓励采用政府和社会资本合作（PPP）模式，吸引社会资本参与绿色建筑建设。</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加大绿色金融体系推动力度。积极完善绿色金融支持绿色建筑的政策环境，鼓励金融机构加强绿色金融产品和服务方式创新，开展合同能源管理未来收益权等绿色信贷业务，推进绿色金融产品在建筑领域创新应用，建设绿色金融示范项目，形成绿色建筑市场推广机制。在大型公共建筑项目试点引入绿色建筑性能责任保险机制，通过保险公司约束开发商对建筑质量提供长期保证，推动绿色建筑产业从一元管理向多元共治转变，为开发企业提供事前信用增进、事中风控服务、事后损失补偿的全方位保障。</w:t>
      </w:r>
    </w:p>
    <w:p>
      <w:pPr>
        <w:pStyle w:val="4"/>
        <w:rPr>
          <w:rFonts w:hint="default"/>
        </w:rPr>
      </w:pPr>
      <w:bookmarkStart w:id="116" w:name="_Toc50379502"/>
      <w:bookmarkStart w:id="117" w:name="_Toc50543369"/>
      <w:bookmarkStart w:id="118" w:name="_Toc55917102"/>
      <w:bookmarkStart w:id="119" w:name="_Toc53130179"/>
      <w:bookmarkStart w:id="120" w:name="_Toc63331875"/>
      <w:bookmarkStart w:id="121" w:name="_Toc61617605"/>
      <w:bookmarkStart w:id="122" w:name="_Toc61619898"/>
      <w:bookmarkStart w:id="123" w:name="_Toc58838569"/>
      <w:bookmarkStart w:id="124" w:name="_Toc52310500"/>
      <w:bookmarkStart w:id="125" w:name="_Toc56519771"/>
      <w:bookmarkStart w:id="126" w:name="_Toc52300772"/>
      <w:r>
        <w:rPr>
          <w:rFonts w:hint="eastAsia"/>
          <w:lang w:val="en-US" w:eastAsia="zh-CN"/>
        </w:rPr>
        <w:t>3.</w:t>
      </w:r>
      <w:r>
        <w:rPr>
          <w:rFonts w:hint="default"/>
        </w:rPr>
        <w:t>加强绿色建筑全过程闭合管理，</w:t>
      </w:r>
      <w:bookmarkEnd w:id="116"/>
      <w:bookmarkEnd w:id="117"/>
      <w:r>
        <w:rPr>
          <w:rFonts w:hint="default"/>
        </w:rPr>
        <w:t>保障绿色建筑运营质量</w:t>
      </w:r>
      <w:bookmarkEnd w:id="118"/>
      <w:bookmarkEnd w:id="119"/>
      <w:bookmarkEnd w:id="120"/>
      <w:bookmarkEnd w:id="121"/>
      <w:bookmarkEnd w:id="122"/>
      <w:bookmarkEnd w:id="123"/>
      <w:bookmarkEnd w:id="124"/>
      <w:bookmarkEnd w:id="125"/>
      <w:bookmarkEnd w:id="126"/>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打造绿色建造试点。在中新天津生态城、南站商务区等基础条件较好的地区开展绿色建造试点工作，开展项目绿色策划统筹，指导试点项目通过绿色设计、绿色建材选用、绿色生产、绿色施工、绿色交付的一体化的绿色统筹，形成可复制推广的绿色建造技术体系、管理体系、实施体系和评价体系，推进精益化建造，有效实现全过程绿色效益最大化。</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建立绿色建筑专项验收制度。吸收中新天津生态城分户验收经验，制定分户验收方法，探索绿色建筑使用者监督机制，制定天津市绿色住宅购房人验房指南，正确指导购房人自行验房，积极引导绿色住宅开发建设单位配合购房人做好验房工作；推动落实将住宅绿色性能和全装修质量相关指标纳入商品房买卖合同、住宅质量保证书和住宅使用说明书，明确质量保修责任和纠纷处理方式，保障绿色住宅验收各环节全面落实。</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是加强绿色建筑全过程监管。进一步加强对各区土地公开出让工作业务指导，持续优化土地出让程序，提高工作效率和水平；强化设计施工图审查，保证绿色设计文件审查工作质量；建立绿色建筑运营后评估反馈机制，优化天津市绿色建筑信息共享平台，加强绿色建筑运营监管，提升绿色建筑运营质量。</w:t>
      </w:r>
    </w:p>
    <w:p>
      <w:pPr>
        <w:pStyle w:val="4"/>
        <w:rPr>
          <w:rFonts w:hint="default"/>
        </w:rPr>
      </w:pPr>
      <w:bookmarkStart w:id="127" w:name="_Toc56519772"/>
      <w:bookmarkStart w:id="128" w:name="_Toc58838570"/>
      <w:bookmarkStart w:id="129" w:name="_Toc55917103"/>
      <w:bookmarkStart w:id="130" w:name="_Toc61617606"/>
      <w:bookmarkStart w:id="131" w:name="_Toc52300773"/>
      <w:bookmarkStart w:id="132" w:name="_Toc63331876"/>
      <w:bookmarkStart w:id="133" w:name="_Toc61619899"/>
      <w:bookmarkStart w:id="134" w:name="_Toc53130180"/>
      <w:bookmarkStart w:id="135" w:name="_Toc52310501"/>
      <w:r>
        <w:rPr>
          <w:rFonts w:hint="eastAsia"/>
          <w:lang w:val="en-US" w:eastAsia="zh-CN"/>
        </w:rPr>
        <w:t>4.</w:t>
      </w:r>
      <w:r>
        <w:rPr>
          <w:rFonts w:hint="default"/>
        </w:rPr>
        <w:t>加快健康建筑发展，促进绿色建筑内涵延伸</w:t>
      </w:r>
      <w:bookmarkEnd w:id="127"/>
      <w:bookmarkEnd w:id="128"/>
      <w:bookmarkEnd w:id="129"/>
      <w:bookmarkEnd w:id="130"/>
      <w:bookmarkEnd w:id="131"/>
      <w:bookmarkEnd w:id="132"/>
      <w:bookmarkEnd w:id="133"/>
      <w:bookmarkEnd w:id="134"/>
      <w:bookmarkEnd w:id="135"/>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着力提升住宅健康性能。结合疫情防控和天津市经济社会发展实际，修订《天津市住宅设计标准》，提高住宅空气、水质、隔声等健康性能指标要求，提升住宅舒适、健康、宜居性；加强健康建筑设计、建造和运行全过程指导，结合建筑绿色施工要求，强化健康施工，创建住宅区优美绿化环境，提升物业以人为本管理服务，促进绿色建筑向更舒适、更卫生、更安全、更人文的方向发展。</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培育健康建筑技术产业。鼓励高等院校、科研机构及设计施工、建材设备生产等单位开展健康建筑技术研究，加强健康建筑产品研发，加大健康建筑新技术、新产品应用示范。支持高星级绿色住宅项目创建住宅健康性能示范，推动一批健康住宅示范项目建设，鼓励开展健康建筑标识评价，引领绿色健康建筑发展。</w:t>
      </w:r>
    </w:p>
    <w:p>
      <w:pPr>
        <w:pStyle w:val="4"/>
        <w:rPr>
          <w:rFonts w:hint="default"/>
        </w:rPr>
      </w:pPr>
      <w:bookmarkStart w:id="136" w:name="_Toc53130185"/>
      <w:bookmarkStart w:id="137" w:name="_Toc58838571"/>
      <w:bookmarkStart w:id="138" w:name="_Toc61619900"/>
      <w:bookmarkStart w:id="139" w:name="_Toc61617607"/>
      <w:bookmarkStart w:id="140" w:name="_Toc52310506"/>
      <w:bookmarkStart w:id="141" w:name="_Toc55917105"/>
      <w:bookmarkStart w:id="142" w:name="_Toc56519773"/>
      <w:bookmarkStart w:id="143" w:name="_Toc52300778"/>
      <w:bookmarkStart w:id="144" w:name="_Toc63331877"/>
      <w:r>
        <w:rPr>
          <w:rFonts w:hint="eastAsia"/>
          <w:lang w:val="en-US" w:eastAsia="zh-CN"/>
        </w:rPr>
        <w:t>5.</w:t>
      </w:r>
      <w:r>
        <w:rPr>
          <w:rFonts w:hint="default"/>
        </w:rPr>
        <w:t>持续推进绿色生态城区建设，扩大影响力</w:t>
      </w:r>
      <w:bookmarkEnd w:id="136"/>
      <w:bookmarkEnd w:id="137"/>
      <w:bookmarkEnd w:id="138"/>
      <w:bookmarkEnd w:id="139"/>
      <w:bookmarkEnd w:id="140"/>
      <w:bookmarkEnd w:id="141"/>
      <w:bookmarkEnd w:id="142"/>
      <w:bookmarkEnd w:id="143"/>
      <w:bookmarkEnd w:id="144"/>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引导绿色生态城区标准规范化发展。持续推进中新天津生态城、东丽湖、于家堡金融商务区、塘沽南部生态新城等已获批的绿色生态城区项目建设，进一步完善细化规划和具体措施，实现既定目标。总结绿色生态城区试点经验、提炼亮点，梳理契合本市发展特色的绿色生态城区建设路径，引导本市绿色生态城区规划编制和实施管理标准化、规范化。</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鼓励开展绿色生态城区建设。充分挖掘区域文化内涵、发展特色产业，重点推进中德生态城、天津南站等区域按照绿色生态城区标准进行建设，并积极申请绿色生态城区标识，着力培育在绿色交通、能源与资源、生态环境等方面极具特色的绿色生态城区。加大绿色生态主题宣传力度，增强社会公众对绿色生态城区的认知度和参与度。到2025年，建设1~2个绿色生态城区。</w:t>
      </w:r>
    </w:p>
    <w:p>
      <w:pPr>
        <w:pStyle w:val="4"/>
        <w:rPr>
          <w:rFonts w:hint="default"/>
        </w:rPr>
      </w:pPr>
      <w:bookmarkStart w:id="145" w:name="_Toc53130186"/>
      <w:bookmarkStart w:id="146" w:name="_Toc61617608"/>
      <w:bookmarkStart w:id="147" w:name="_Toc52310507"/>
      <w:bookmarkStart w:id="148" w:name="_Toc52300779"/>
      <w:bookmarkStart w:id="149" w:name="_Toc56519774"/>
      <w:bookmarkStart w:id="150" w:name="_Toc61619901"/>
      <w:bookmarkStart w:id="151" w:name="_Toc55917106"/>
      <w:bookmarkStart w:id="152" w:name="_Toc58838572"/>
      <w:bookmarkStart w:id="153" w:name="_Toc63331878"/>
      <w:r>
        <w:rPr>
          <w:rFonts w:hint="eastAsia"/>
          <w:lang w:val="en-US" w:eastAsia="zh-CN"/>
        </w:rPr>
        <w:t>6.</w:t>
      </w:r>
      <w:r>
        <w:rPr>
          <w:rFonts w:hint="default"/>
        </w:rPr>
        <w:t>加强绿色生态城区运营管理，提升建设成效</w:t>
      </w:r>
      <w:bookmarkEnd w:id="145"/>
      <w:bookmarkEnd w:id="146"/>
      <w:bookmarkEnd w:id="147"/>
      <w:bookmarkEnd w:id="148"/>
      <w:bookmarkEnd w:id="149"/>
      <w:bookmarkEnd w:id="150"/>
      <w:bookmarkEnd w:id="151"/>
      <w:bookmarkEnd w:id="152"/>
      <w:bookmarkEnd w:id="153"/>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探索绿色生态城区长效运维管理模式。建立生态城区规划、建设、运营、评价等全过程、精细化管理体系。鼓励借鉴中新天津生态城等试点经验，规划阶段细化建设指标体系；建设阶段严格管控，落实各项规划及指标体系要求，严格执行绿色施工管理；运营及评价阶段引入专业化服务团队，充分体现城区特色，发展特色产业。</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加强信息与智慧化管理。依托互联网、大数据等新兴技术，形成集数据采集、传输、汇总、储存、综合利用和形象展示于一体的管理信息系统，加强信息化技术应用水平，建立智慧化跟踪评估机制。加强智慧交通、智慧社区、能耗监测、公共安全、电子政务等管理数字化平台建设和功能整合，建设综合性城区管理数据库，优化城区运营管理策略，提高城区绿色运营管理水平，逐步纳入城市建设和管理的制度体系，为城市科学和精细化管理提供数据基础。</w:t>
      </w:r>
    </w:p>
    <w:p>
      <w:pPr>
        <w:pStyle w:val="4"/>
        <w:rPr>
          <w:rFonts w:hint="default"/>
        </w:rPr>
      </w:pPr>
      <w:bookmarkStart w:id="154" w:name="_Toc63331879"/>
      <w:bookmarkStart w:id="155" w:name="_Toc58838582"/>
      <w:bookmarkStart w:id="156" w:name="_Toc56519784"/>
      <w:bookmarkStart w:id="157" w:name="_Toc61617618"/>
      <w:bookmarkStart w:id="158" w:name="_Toc61619911"/>
      <w:r>
        <w:rPr>
          <w:rFonts w:hint="eastAsia"/>
          <w:lang w:val="en-US" w:eastAsia="zh-CN"/>
        </w:rPr>
        <w:t>7.</w:t>
      </w:r>
      <w:r>
        <w:rPr>
          <w:rFonts w:hint="default"/>
        </w:rPr>
        <w:t>完善推广应用机制，扩大绿色建材应用规模</w:t>
      </w:r>
      <w:bookmarkEnd w:id="154"/>
      <w:bookmarkEnd w:id="155"/>
      <w:bookmarkEnd w:id="156"/>
      <w:bookmarkEnd w:id="157"/>
      <w:bookmarkEnd w:id="158"/>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完善绿色建材推广应用机制。搭建天津市绿色建筑信息共享平台，及时公布绿色建材采信应用情况，指导建筑业和消费者选材，形成统一、有序、共享的绿色建材市场。结合本市实际制定天津市绿色建材推广应用方案，鼓励工程建设项目使用绿色建材采信应用数据库中的产品，在政府投资工程、重点工程、市政公用工程、绿色建筑和生态城区、装配式建筑等项目中率先采用绿色建材，逐步提高城镇新建建筑中绿色建材应用比例。</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推广绿色建材应用、加强示范引领。加强建材生产与建筑设计、工程建造等上下游企业互动，鼓励下游选用绿色建材。推进绿色建材生产和应用示范工程建设。培育绿色建材示范企业和示范基地，带动建材企业转型升级，引导企业推进绿色生产，提升绿色建材供应能力。推进绿色应用示范工程建设，打造一批可复制可推广的应用模板，促进新型绿色建材发展。</w:t>
      </w:r>
    </w:p>
    <w:p>
      <w:pPr>
        <w:pStyle w:val="3"/>
        <w:rPr>
          <w:rFonts w:hint="default"/>
        </w:rPr>
      </w:pPr>
      <w:bookmarkStart w:id="159" w:name="_Toc61617609"/>
      <w:bookmarkStart w:id="160" w:name="_Toc63331880"/>
      <w:r>
        <w:rPr>
          <w:rFonts w:hint="eastAsia"/>
          <w:lang w:eastAsia="zh-CN"/>
        </w:rPr>
        <w:t>（二）</w:t>
      </w:r>
      <w:r>
        <w:rPr>
          <w:rFonts w:hint="default"/>
        </w:rPr>
        <w:t>积极促进建筑能效进一步提升</w:t>
      </w:r>
      <w:bookmarkEnd w:id="159"/>
      <w:bookmarkEnd w:id="160"/>
    </w:p>
    <w:p>
      <w:pPr>
        <w:pStyle w:val="4"/>
        <w:rPr>
          <w:rFonts w:hint="default"/>
        </w:rPr>
      </w:pPr>
      <w:bookmarkStart w:id="161" w:name="_Toc55917108"/>
      <w:bookmarkStart w:id="162" w:name="_Toc61619903"/>
      <w:bookmarkStart w:id="163" w:name="_Toc58838574"/>
      <w:bookmarkStart w:id="164" w:name="_Toc63331881"/>
      <w:bookmarkStart w:id="165" w:name="_Toc53130188"/>
      <w:bookmarkStart w:id="166" w:name="_Toc61617610"/>
      <w:bookmarkStart w:id="167" w:name="_Toc56519776"/>
      <w:r>
        <w:rPr>
          <w:rFonts w:hint="eastAsia"/>
          <w:lang w:val="en-US" w:eastAsia="zh-CN"/>
        </w:rPr>
        <w:t>1.</w:t>
      </w:r>
      <w:r>
        <w:rPr>
          <w:rFonts w:hint="default"/>
        </w:rPr>
        <w:t>落实建筑领域能耗控制目标，促进新建建筑高效节能</w:t>
      </w:r>
      <w:bookmarkEnd w:id="161"/>
      <w:bookmarkEnd w:id="162"/>
      <w:bookmarkEnd w:id="163"/>
      <w:bookmarkEnd w:id="164"/>
      <w:bookmarkEnd w:id="165"/>
      <w:bookmarkEnd w:id="166"/>
      <w:bookmarkEnd w:id="167"/>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加快新建居住建筑五步节能标准颁布实施。尽快发布天津市居住建筑五步节能设计标准，从建筑节能产品、设备、体系、技术水平、产业配套设施等角度，全面推动新建建筑能效提升。严格标准执行，完善建筑节能联动监管机制，确保新建建筑五步节能设计标准100%执行。加快节能服务体系建设，促进各类节能技术服务机构的创新模式和领域拓宽，增强服务能力，提高服务水平。</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完善建筑能耗监测平台建设。严格监管，确保满足要求的新建建筑数据成功上传，进一步发挥大数据信息优势，掌握公共建筑用能情况，提升大数据分析与使用效率，鼓励合同能源管理模式应用。开展公共建筑能源消耗统计、能源审计及能效公示工作，探索公共建筑长效运行管理工作机制。</w:t>
      </w:r>
    </w:p>
    <w:p>
      <w:pPr>
        <w:pStyle w:val="4"/>
        <w:rPr>
          <w:rFonts w:hint="default"/>
        </w:rPr>
      </w:pPr>
      <w:bookmarkStart w:id="168" w:name="_Toc53130189"/>
      <w:bookmarkStart w:id="169" w:name="_Toc63331882"/>
      <w:bookmarkStart w:id="170" w:name="_Toc55917109"/>
      <w:bookmarkStart w:id="171" w:name="_Toc61619904"/>
      <w:bookmarkStart w:id="172" w:name="_Toc58838575"/>
      <w:bookmarkStart w:id="173" w:name="_Toc56519777"/>
      <w:bookmarkStart w:id="174" w:name="_Toc61617611"/>
      <w:r>
        <w:rPr>
          <w:rFonts w:hint="eastAsia"/>
          <w:lang w:val="en-US" w:eastAsia="zh-CN"/>
        </w:rPr>
        <w:t>2.</w:t>
      </w:r>
      <w:r>
        <w:rPr>
          <w:rFonts w:hint="default"/>
        </w:rPr>
        <w:t>加快推进超低能耗建筑发展，提高建筑低碳水平</w:t>
      </w:r>
      <w:bookmarkEnd w:id="168"/>
      <w:bookmarkEnd w:id="169"/>
      <w:bookmarkEnd w:id="170"/>
      <w:bookmarkEnd w:id="171"/>
      <w:bookmarkEnd w:id="172"/>
      <w:bookmarkEnd w:id="173"/>
      <w:bookmarkEnd w:id="174"/>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完善基于实际运行效果的超低能耗建筑技术体系。对前期已建成的被动式低能耗示范项目（生态城公屋二期、象博豪庭3号楼等）开展运行效果评估，分析运行能耗、室内舒适度及经济效益情况，总结项目实施经验，进一步推进超低能耗建筑发展。</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落实近零能耗建筑及零能耗建筑项目的示范建设。积极推进超低能耗、近零能耗、零能耗建筑“三步走”战略，建设一至两个近零能耗建筑、零能耗建筑、零碳小屋项目，做好示范引领。新建项目总建筑面积在20万平方米（含）以上的，需明确建设一栋以上超低能耗建筑，开工建设超低能耗建筑面积不低于总建筑面积的10%。</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是打造超低能耗建筑新的建设新模式。依托天津市在超低能耗建筑系统集成技术、建筑辅材等领域的产业集群优势，积极对接京津建筑设计、运维产业，聚焦薄弱环节，加大招商力度，鼓励探索产业集成发展、协同创新路径，打造超低能耗建筑的全产业链发展样板，探索超低能耗建筑工厂化生产新路径，形成超低能耗建筑新的建设新模式。发挥优势企业的示范带动作用，支持优势企业进一步加强超低能耗建筑门窗、创新和自主研发，整体提升设备部品质量水平，打造高能效标准的低能耗新建建筑部品部件生产示范基地。</w:t>
      </w:r>
    </w:p>
    <w:p>
      <w:pPr>
        <w:pStyle w:val="4"/>
        <w:rPr>
          <w:rFonts w:hint="default"/>
        </w:rPr>
      </w:pPr>
      <w:bookmarkStart w:id="175" w:name="_Toc58838576"/>
      <w:bookmarkStart w:id="176" w:name="_Toc61619905"/>
      <w:bookmarkStart w:id="177" w:name="_Toc63331883"/>
      <w:bookmarkStart w:id="178" w:name="_Toc61617612"/>
      <w:r>
        <w:rPr>
          <w:rFonts w:hint="eastAsia"/>
          <w:lang w:val="en-US" w:eastAsia="zh-CN"/>
        </w:rPr>
        <w:t>3.</w:t>
      </w:r>
      <w:r>
        <w:rPr>
          <w:rFonts w:hint="default"/>
        </w:rPr>
        <w:t>持续推进既有建筑改造，提高运行管理水平</w:t>
      </w:r>
      <w:bookmarkEnd w:id="175"/>
      <w:bookmarkEnd w:id="176"/>
      <w:bookmarkEnd w:id="177"/>
      <w:bookmarkEnd w:id="178"/>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推进既有居住建筑绿色改造与老旧小区改造、城市双修、海绵城市建设等工作有机结合。创新改造方式和资金筹措机制，推进既有住区停车、充电及电梯等设施建设，完善海绵设施等综合配套。推动“绿色社区”建设，加快社区人居环境提档升级，提升社区信息化智能化水平，同步培育社区绿色文化，到2022年，全市60%以上的社区参与创建行动并达到创建要求。结合疫情防控，建立住宅健康改造标准，开展既有居住建筑健康化改造试点示范，提高住宅健康性能。</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深挖公共建筑节能潜力，积极推动能效提升改造。完善政府引导工作机制，扩大能耗普查覆盖范围，全面掌握公共建筑用能情况。推动建立公共建筑运行调适制度，鼓励公共建筑可再生能源应用和再生水利用，推广一批能源审计、能源管理、节水管理优秀改造项目。完成公共建筑能效提升改造面积150万平方米以上，改造项目平均节能率不低于15%。</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是提高公共建筑运行管理水平。加强市级建筑能耗监测平台建设与利用机制创新，完善能耗统计、能源审计、信息披露制度，鼓励大型公共建筑实现信息共享。深挖数据价值，充分发挥能耗水耗等数据在建筑运行规律、建筑能效提升改造收益测算等方面的支撑作用，为合同能源管理等市场模式发展提供底板数据支撑，形成能耗监测、运行大数据挖掘与建筑能效提升改造工作的有机反馈和联动机制。</w:t>
      </w:r>
    </w:p>
    <w:p>
      <w:pPr>
        <w:pStyle w:val="3"/>
        <w:rPr>
          <w:rFonts w:hint="default"/>
        </w:rPr>
      </w:pPr>
      <w:bookmarkStart w:id="179" w:name="_Toc63331884"/>
      <w:bookmarkStart w:id="180" w:name="_Toc61617613"/>
      <w:r>
        <w:rPr>
          <w:rFonts w:hint="eastAsia"/>
          <w:lang w:eastAsia="zh-CN"/>
        </w:rPr>
        <w:t>（三）</w:t>
      </w:r>
      <w:r>
        <w:rPr>
          <w:rFonts w:hint="default"/>
        </w:rPr>
        <w:t>推进新型建筑工业化发展</w:t>
      </w:r>
      <w:bookmarkEnd w:id="179"/>
      <w:bookmarkEnd w:id="180"/>
    </w:p>
    <w:p>
      <w:pPr>
        <w:pStyle w:val="4"/>
        <w:rPr>
          <w:rFonts w:hint="default"/>
        </w:rPr>
      </w:pPr>
      <w:bookmarkStart w:id="181" w:name="_Toc61619907"/>
      <w:bookmarkStart w:id="182" w:name="_Toc63331885"/>
      <w:bookmarkStart w:id="183" w:name="_Toc55917112"/>
      <w:bookmarkStart w:id="184" w:name="_Toc56519780"/>
      <w:bookmarkStart w:id="185" w:name="_Toc61617614"/>
      <w:bookmarkStart w:id="186" w:name="_Toc58838578"/>
      <w:bookmarkStart w:id="187" w:name="_Toc50379513"/>
      <w:bookmarkStart w:id="188" w:name="_Toc53130192"/>
      <w:bookmarkStart w:id="189" w:name="_Toc52107269"/>
      <w:bookmarkStart w:id="190" w:name="_Toc52310513"/>
      <w:bookmarkStart w:id="191" w:name="_Toc50543380"/>
      <w:bookmarkStart w:id="192" w:name="_Toc52125377"/>
      <w:bookmarkStart w:id="193" w:name="_Toc52300785"/>
      <w:r>
        <w:rPr>
          <w:rFonts w:hint="eastAsia"/>
          <w:lang w:val="en-US" w:eastAsia="zh-CN"/>
        </w:rPr>
        <w:t>1.</w:t>
      </w:r>
      <w:r>
        <w:rPr>
          <w:rFonts w:hint="default"/>
        </w:rPr>
        <w:t>推广钢结构装配式建筑，提升建筑安全绿色品质</w:t>
      </w:r>
      <w:bookmarkEnd w:id="181"/>
      <w:bookmarkEnd w:id="182"/>
      <w:bookmarkEnd w:id="183"/>
      <w:bookmarkEnd w:id="184"/>
      <w:bookmarkEnd w:id="185"/>
      <w:bookmarkEnd w:id="186"/>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优先推动钢结构公共建筑发展。推动新建公共建筑采用钢结构装配式建筑，逐步提高钢结构应用比例。鼓励开展钢结构住宅建设试点。完善钢结构建筑防火、防腐等性能与技术标准，加大耐火、耐候型钢材应用，增强建筑的防灾减灾能力。</w:t>
      </w:r>
    </w:p>
    <w:bookmarkEnd w:id="187"/>
    <w:p>
      <w:pPr>
        <w:pStyle w:val="4"/>
        <w:rPr>
          <w:rFonts w:hint="default"/>
        </w:rPr>
      </w:pPr>
      <w:bookmarkStart w:id="194" w:name="_Toc55917113"/>
      <w:bookmarkStart w:id="195" w:name="_Toc61619908"/>
      <w:bookmarkStart w:id="196" w:name="_Toc61617615"/>
      <w:bookmarkStart w:id="197" w:name="_Toc56519781"/>
      <w:bookmarkStart w:id="198" w:name="_Toc63331886"/>
      <w:bookmarkStart w:id="199" w:name="_Toc58838579"/>
      <w:r>
        <w:rPr>
          <w:rFonts w:hint="eastAsia"/>
          <w:lang w:val="en-US" w:eastAsia="zh-CN"/>
        </w:rPr>
        <w:t>2.</w:t>
      </w:r>
      <w:r>
        <w:rPr>
          <w:rFonts w:hint="default"/>
        </w:rPr>
        <w:t>强化技术集成应用，</w:t>
      </w:r>
      <w:bookmarkEnd w:id="188"/>
      <w:bookmarkEnd w:id="189"/>
      <w:bookmarkEnd w:id="190"/>
      <w:bookmarkEnd w:id="191"/>
      <w:bookmarkEnd w:id="192"/>
      <w:bookmarkEnd w:id="193"/>
      <w:r>
        <w:rPr>
          <w:rFonts w:hint="default"/>
        </w:rPr>
        <w:t>完善装配式建筑技术体系</w:t>
      </w:r>
      <w:bookmarkEnd w:id="194"/>
      <w:bookmarkEnd w:id="195"/>
      <w:bookmarkEnd w:id="196"/>
      <w:bookmarkEnd w:id="197"/>
      <w:bookmarkEnd w:id="198"/>
      <w:bookmarkEnd w:id="199"/>
    </w:p>
    <w:p>
      <w:pPr>
        <w:adjustRightInd/>
        <w:spacing w:line="360" w:lineRule="auto"/>
        <w:ind w:firstLine="622" w:firstLineChars="200"/>
        <w:textAlignment w:val="auto"/>
        <w:rPr>
          <w:rFonts w:hint="default" w:ascii="Times New Roman" w:hAnsi="Times New Roman" w:eastAsia="仿宋" w:cs="Times New Roman"/>
          <w:bCs/>
          <w:sz w:val="32"/>
          <w:szCs w:val="32"/>
        </w:rPr>
      </w:pPr>
      <w:bookmarkStart w:id="200" w:name="_Toc25766065"/>
      <w:bookmarkStart w:id="201" w:name="_Toc26360021"/>
      <w:r>
        <w:rPr>
          <w:rFonts w:hint="default" w:ascii="Times New Roman" w:hAnsi="Times New Roman" w:eastAsia="仿宋" w:cs="Times New Roman"/>
          <w:bCs/>
          <w:sz w:val="32"/>
          <w:szCs w:val="32"/>
        </w:rPr>
        <w:t>一是推行标准化设计。完善结构主要构件、集成化模块化建筑部品等设计选型标准，实施建筑平面、立面、构件和部品部件、接口标准化设计，推行少规格、多组合的设计方法，减少异型和非标准部品构件，逐步提高标准化程度，发挥规模效应。</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推广装配化装修技术。稳步提高装配化装修比例，重点推广管线分离、一体化装修技术以及集成化模块化建筑部品，提高装修品质，降低运行维护成本，鼓励保障性住房、政府投资项目率先采用装配化装修，引导商品住房项目采用菜单化装配化装修。</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是加快信息技术融合发展。在建造全过程加大新一代信息技术的集成与创新应用，提高设计、施工阶段应用BIM技术的比例，鼓励开展以建设单位主导，各参建方在项目全过程协同应用BIM技术的组织实施模式。以5G、物联网、区块链、人工智能等技术为支撑，试点推动智慧工地建设和建筑机器人等智能装备设备应用，提高工程质量和管理效率。依托天津市建筑市场监管信息系统，利用大数据技术的市场监测和数据分析作用，提高公共服务能力和监管效率，实现工程质量可追溯及建造信息化水平提升。</w:t>
      </w:r>
    </w:p>
    <w:bookmarkEnd w:id="200"/>
    <w:bookmarkEnd w:id="201"/>
    <w:p>
      <w:pPr>
        <w:pStyle w:val="4"/>
        <w:rPr>
          <w:rFonts w:hint="default"/>
        </w:rPr>
      </w:pPr>
      <w:bookmarkStart w:id="202" w:name="_Toc55917114"/>
      <w:bookmarkStart w:id="203" w:name="_Toc58838580"/>
      <w:bookmarkStart w:id="204" w:name="_Toc56519782"/>
      <w:bookmarkStart w:id="205" w:name="_Toc63331887"/>
      <w:bookmarkStart w:id="206" w:name="_Toc52125378"/>
      <w:bookmarkStart w:id="207" w:name="_Toc52107270"/>
      <w:bookmarkStart w:id="208" w:name="_Toc61619909"/>
      <w:bookmarkStart w:id="209" w:name="_Toc61617616"/>
      <w:bookmarkStart w:id="210" w:name="_Toc52310514"/>
      <w:bookmarkStart w:id="211" w:name="_Toc53130193"/>
      <w:bookmarkStart w:id="212" w:name="_Toc52300786"/>
      <w:bookmarkStart w:id="213" w:name="_Toc50543381"/>
      <w:r>
        <w:rPr>
          <w:rFonts w:hint="eastAsia"/>
          <w:lang w:val="en-US" w:eastAsia="zh-CN"/>
        </w:rPr>
        <w:t>3.</w:t>
      </w:r>
      <w:r>
        <w:rPr>
          <w:rFonts w:hint="default"/>
        </w:rPr>
        <w:t>创新组织管理机制，保障装配式建筑发展质量</w:t>
      </w:r>
      <w:bookmarkEnd w:id="202"/>
      <w:bookmarkEnd w:id="203"/>
      <w:bookmarkEnd w:id="204"/>
      <w:bookmarkEnd w:id="205"/>
      <w:bookmarkEnd w:id="206"/>
      <w:bookmarkEnd w:id="207"/>
      <w:bookmarkEnd w:id="208"/>
      <w:bookmarkEnd w:id="209"/>
      <w:bookmarkEnd w:id="210"/>
      <w:bookmarkEnd w:id="211"/>
      <w:bookmarkEnd w:id="212"/>
      <w:bookmarkEnd w:id="213"/>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一是健全装配式建筑质量安全监管机制。完善装配式建筑监管服务机制，加强信息化动态监管；严格执行标准规范；加强质量安全管理，促进参建各方对关键部位和工序质量安全管控。</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推行新型组织管理方式。积极推行“设计-采购-施工”（EPC）工程总承包项目管理模式，促进设计、生产、施工深度融合，在政府投资项目中率先采用工程总承包模式，推动工程总承包全面实施。探索建立天津市全过程咨询试点，培育具备勘察、设计、监理、招标代理、造价等业务能力的全过程工程咨询企业。</w:t>
      </w:r>
    </w:p>
    <w:p>
      <w:pPr>
        <w:pStyle w:val="4"/>
        <w:rPr>
          <w:rFonts w:hint="default"/>
        </w:rPr>
      </w:pPr>
      <w:bookmarkStart w:id="214" w:name="_Toc50543382"/>
      <w:bookmarkStart w:id="215" w:name="_Toc52107271"/>
      <w:bookmarkStart w:id="216" w:name="_Toc50379515"/>
      <w:bookmarkStart w:id="217" w:name="_Toc52125379"/>
      <w:bookmarkStart w:id="218" w:name="_Toc52300787"/>
      <w:bookmarkStart w:id="219" w:name="_Toc61619910"/>
      <w:bookmarkStart w:id="220" w:name="_Toc55917115"/>
      <w:bookmarkStart w:id="221" w:name="_Toc61617617"/>
      <w:bookmarkStart w:id="222" w:name="_Toc58838581"/>
      <w:bookmarkStart w:id="223" w:name="_Toc56519783"/>
      <w:bookmarkStart w:id="224" w:name="_Toc52310515"/>
      <w:bookmarkStart w:id="225" w:name="_Toc63331888"/>
      <w:bookmarkStart w:id="226" w:name="_Toc53130194"/>
      <w:r>
        <w:rPr>
          <w:rFonts w:hint="eastAsia"/>
          <w:lang w:val="en-US" w:eastAsia="zh-CN"/>
        </w:rPr>
        <w:t>4.</w:t>
      </w:r>
      <w:r>
        <w:rPr>
          <w:rFonts w:hint="default"/>
        </w:rPr>
        <w:t>提升产业发展水平，保障装配式建筑</w:t>
      </w:r>
      <w:bookmarkEnd w:id="214"/>
      <w:bookmarkEnd w:id="215"/>
      <w:bookmarkEnd w:id="216"/>
      <w:bookmarkEnd w:id="217"/>
      <w:r>
        <w:rPr>
          <w:rFonts w:hint="default"/>
        </w:rPr>
        <w:t>实施能力</w:t>
      </w:r>
      <w:bookmarkEnd w:id="218"/>
      <w:bookmarkEnd w:id="219"/>
      <w:bookmarkEnd w:id="220"/>
      <w:bookmarkEnd w:id="221"/>
      <w:bookmarkEnd w:id="222"/>
      <w:bookmarkEnd w:id="223"/>
      <w:bookmarkEnd w:id="224"/>
      <w:bookmarkEnd w:id="225"/>
      <w:bookmarkEnd w:id="226"/>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是合理优化装配式建筑产业布局。在“十三五”工作的基础上，继续优化产业布局，综合考虑构件、部品部件运输和服务半径，提高产能利用率，建设装配式建筑构件、部品部件生产基地，强化装配式建筑发展的产业支撑作用，并进一步有效辐射京津冀、服务雄安新区。</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二是推动装配式建筑全产业链发展。培育一批设计、生产、施工、研发、运维、培训等全产业链的装配式建筑龙头骨干企业，逐步实现装配式建筑项目设计模数化、构件通用化、生产数控化、管理信息化、运维智能化，实现装配式建筑全产业链持续健康发展。</w:t>
      </w:r>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三是积极促进京津冀装配式建筑协同发展。充分发挥天津作为全国先进制造研发基地、改革开放先行区的优势，以天津市装配式建筑产业骨干龙头企业为依托，联合京津冀地区优秀建筑设计、施工、开发、科研院所以及部品生产、物流配送等相关企业，重点开展与装配式建筑相适应的生产设备、施工设备、机具和配套产品的研发，促进部品部件整体安全性能的提升。</w:t>
      </w:r>
      <w:bookmarkStart w:id="227" w:name="_Toc61617619"/>
      <w:bookmarkStart w:id="228" w:name="_Toc63331889"/>
    </w:p>
    <w:p>
      <w:pPr>
        <w:adjustRightInd/>
        <w:spacing w:line="360" w:lineRule="auto"/>
        <w:ind w:firstLine="622" w:firstLineChars="200"/>
        <w:textAlignment w:val="auto"/>
        <w:rPr>
          <w:rFonts w:hint="default" w:ascii="Times New Roman" w:hAnsi="Times New Roman" w:eastAsia="仿宋" w:cs="Times New Roman"/>
          <w:b w:val="0"/>
          <w:sz w:val="32"/>
          <w:szCs w:val="32"/>
        </w:rPr>
      </w:pPr>
      <w:r>
        <w:rPr>
          <w:rFonts w:hint="default" w:ascii="Times New Roman" w:hAnsi="Times New Roman" w:eastAsia="黑体" w:cs="Times New Roman"/>
          <w:b w:val="0"/>
          <w:sz w:val="32"/>
          <w:szCs w:val="32"/>
        </w:rPr>
        <w:t>四、保障措施</w:t>
      </w:r>
      <w:bookmarkEnd w:id="227"/>
      <w:bookmarkEnd w:id="228"/>
    </w:p>
    <w:p>
      <w:pPr>
        <w:pStyle w:val="3"/>
        <w:rPr>
          <w:rFonts w:hint="default" w:ascii="Times New Roman" w:hAnsi="Times New Roman" w:cs="Times New Roman"/>
        </w:rPr>
      </w:pPr>
      <w:bookmarkStart w:id="229" w:name="_Toc26360040"/>
      <w:bookmarkStart w:id="230" w:name="_Toc61617620"/>
      <w:bookmarkStart w:id="231" w:name="_Toc63331890"/>
      <w:r>
        <w:rPr>
          <w:rFonts w:hint="eastAsia" w:ascii="Times New Roman" w:hAnsi="Times New Roman" w:cs="Times New Roman"/>
          <w:lang w:eastAsia="zh-CN"/>
        </w:rPr>
        <w:t>（一）</w:t>
      </w:r>
      <w:r>
        <w:rPr>
          <w:rFonts w:hint="default" w:ascii="Times New Roman" w:hAnsi="Times New Roman" w:cs="Times New Roman"/>
        </w:rPr>
        <w:t>完善政策制度</w:t>
      </w:r>
      <w:bookmarkEnd w:id="229"/>
      <w:bookmarkEnd w:id="230"/>
      <w:bookmarkEnd w:id="231"/>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贯彻落实《天津市建筑节能能源条例》等法律法规和相关规定，出台天津市绿色建筑管理办法、实施细则，加快研究制定天津市绿色建筑发展条例，建立标识降级或撤销机制，积极推动绿色建筑发展依法管理；研究制定装配式建筑普及推广的配套措施，加强装配式建筑施工过程监管。建立完善公共建筑能源审计、信息披露等公共建筑管理与改造制度，全面保障建筑能效进一步提升。</w:t>
      </w:r>
    </w:p>
    <w:p>
      <w:pPr>
        <w:pStyle w:val="3"/>
        <w:rPr>
          <w:rFonts w:hint="default" w:ascii="Times New Roman" w:hAnsi="Times New Roman" w:cs="Times New Roman"/>
        </w:rPr>
      </w:pPr>
      <w:bookmarkStart w:id="232" w:name="_Toc26360041"/>
      <w:bookmarkStart w:id="233" w:name="_Toc63331891"/>
      <w:bookmarkStart w:id="234" w:name="_Toc61617621"/>
      <w:r>
        <w:rPr>
          <w:rFonts w:hint="eastAsia" w:ascii="Times New Roman" w:hAnsi="Times New Roman" w:cs="Times New Roman"/>
          <w:lang w:eastAsia="zh-CN"/>
        </w:rPr>
        <w:t>（二）</w:t>
      </w:r>
      <w:r>
        <w:rPr>
          <w:rFonts w:hint="default" w:ascii="Times New Roman" w:hAnsi="Times New Roman" w:cs="Times New Roman"/>
        </w:rPr>
        <w:t>加强组织</w:t>
      </w:r>
      <w:bookmarkEnd w:id="232"/>
      <w:r>
        <w:rPr>
          <w:rFonts w:hint="default" w:ascii="Times New Roman" w:hAnsi="Times New Roman" w:cs="Times New Roman"/>
        </w:rPr>
        <w:t>实施</w:t>
      </w:r>
      <w:bookmarkEnd w:id="233"/>
      <w:bookmarkEnd w:id="234"/>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加强对绿色建筑、建筑节能和建筑工业化工作的领导，形成天津市绿色建筑、建筑节能和建筑工业化发展整体目标、任务、配套政策的分解落实机制，制定具体实施方案，明确时间表、路线图及实施路径。强化市区两级联动，建立规划落实情况检查机制，定期对绿色建筑、建筑节能和建筑工业化规划目标任务落实情况进行检查，将部分规划目标任务完成情况纳入责任考核体系。优化市区两级协调配合，推动绿色建筑评价标识分级管理机制发挥实效，保障规划目标和任务完成。</w:t>
      </w:r>
    </w:p>
    <w:p>
      <w:pPr>
        <w:pStyle w:val="3"/>
        <w:rPr>
          <w:rFonts w:hint="default"/>
        </w:rPr>
      </w:pPr>
      <w:bookmarkStart w:id="235" w:name="_Toc63331892"/>
      <w:bookmarkStart w:id="236" w:name="_Toc26360042"/>
      <w:bookmarkStart w:id="237" w:name="_Toc61617622"/>
      <w:r>
        <w:rPr>
          <w:rFonts w:hint="eastAsia"/>
          <w:lang w:eastAsia="zh-CN"/>
        </w:rPr>
        <w:t>（三）</w:t>
      </w:r>
      <w:r>
        <w:rPr>
          <w:rFonts w:hint="default"/>
        </w:rPr>
        <w:t>强化激励机制</w:t>
      </w:r>
      <w:bookmarkEnd w:id="235"/>
      <w:bookmarkEnd w:id="236"/>
      <w:bookmarkEnd w:id="237"/>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建立完善绿色建筑、建筑节能和建筑工业化发展的激励机制，鼓励采用政府和社会资本合作（PPP）模式，吸引社会资本参与绿色建筑建设。积极争取国家绿色建筑奖励资金，对获得绿色建筑标识二星级、三星级项目给予奖励资金补助。开展既有建筑合同能源管理试点工作，取得市节能专项资金支持。</w:t>
      </w:r>
    </w:p>
    <w:p>
      <w:pPr>
        <w:pStyle w:val="3"/>
        <w:rPr>
          <w:rFonts w:hint="default"/>
        </w:rPr>
      </w:pPr>
      <w:bookmarkStart w:id="238" w:name="_Toc63331893"/>
      <w:bookmarkStart w:id="239" w:name="_Toc26360043"/>
      <w:bookmarkStart w:id="240" w:name="_Toc61617623"/>
      <w:r>
        <w:rPr>
          <w:rFonts w:hint="eastAsia"/>
          <w:lang w:eastAsia="zh-CN"/>
        </w:rPr>
        <w:t>（四）</w:t>
      </w:r>
      <w:r>
        <w:rPr>
          <w:rFonts w:hint="default"/>
        </w:rPr>
        <w:t>提升市场推动</w:t>
      </w:r>
      <w:bookmarkEnd w:id="238"/>
      <w:bookmarkEnd w:id="239"/>
      <w:bookmarkEnd w:id="240"/>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创新绿色建筑、建筑节能和建筑工业化发展的市场驱动机制，完善绿色金融支持绿色建筑的政策环境，鼓励金融机构加强绿色金融创新、发展绿色信贷，推进绿色金融产品在建筑领域创新应用，建设绿色金融示范项目，形成绿色建筑市场推广机制。鼓励对购买或租赁绿色公共建筑企业和个人予以融资支持，加强对市场消费行为的引导。扶持节能服务企业发展，发挥市场力量推动相关工作发展。</w:t>
      </w:r>
    </w:p>
    <w:p>
      <w:pPr>
        <w:pStyle w:val="3"/>
        <w:rPr>
          <w:rFonts w:hint="default"/>
        </w:rPr>
      </w:pPr>
      <w:bookmarkStart w:id="241" w:name="_Toc26360044"/>
      <w:bookmarkStart w:id="242" w:name="_Toc61617624"/>
      <w:bookmarkStart w:id="243" w:name="_Toc63331894"/>
      <w:r>
        <w:rPr>
          <w:rFonts w:hint="eastAsia"/>
          <w:lang w:eastAsia="zh-CN"/>
        </w:rPr>
        <w:t>（五）</w:t>
      </w:r>
      <w:r>
        <w:rPr>
          <w:rFonts w:hint="default"/>
        </w:rPr>
        <w:t>完善技术标准</w:t>
      </w:r>
      <w:bookmarkEnd w:id="241"/>
      <w:bookmarkEnd w:id="242"/>
      <w:bookmarkEnd w:id="243"/>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衔接国家和行业标准，因地制宜，突出地方特性，发展适宜本地的绿色建筑关键技术，推进京津冀协同地方标准《绿色建筑评价标准》、《绿色建筑设计标准》编制及实施，将绿色建筑基本要求纳入工程建设强制规范；修订《天津市住宅设计标准》，提高住宅健康性能；尽快发布实施居住建筑五步节能设计标准，全面提升新建建筑能效。</w:t>
      </w:r>
    </w:p>
    <w:p>
      <w:pPr>
        <w:pStyle w:val="3"/>
        <w:rPr>
          <w:rFonts w:hint="default"/>
        </w:rPr>
      </w:pPr>
      <w:bookmarkStart w:id="244" w:name="_Toc26360045"/>
      <w:bookmarkStart w:id="245" w:name="_Toc63331895"/>
      <w:bookmarkStart w:id="246" w:name="_Toc61617625"/>
      <w:r>
        <w:rPr>
          <w:rFonts w:hint="eastAsia"/>
          <w:lang w:eastAsia="zh-CN"/>
        </w:rPr>
        <w:t>（六）</w:t>
      </w:r>
      <w:r>
        <w:rPr>
          <w:rFonts w:hint="default"/>
        </w:rPr>
        <w:t>加强宣传推广</w:t>
      </w:r>
      <w:bookmarkEnd w:id="244"/>
      <w:bookmarkEnd w:id="245"/>
      <w:bookmarkEnd w:id="246"/>
    </w:p>
    <w:p>
      <w:pPr>
        <w:adjustRightInd/>
        <w:spacing w:line="360" w:lineRule="auto"/>
        <w:ind w:firstLine="622" w:firstLineChars="200"/>
        <w:textAlignment w:val="auto"/>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通过媒体宣传引导、加强国际交流与沟通合作等多渠道、多样化方式，开展绿色建筑、建筑节能和建筑工业化宣传推广工作。结合“全民节能行动”、“节能宣传周”等活动，向全社会宣传绿色建筑的重大意义和有关政策，普及绿色建筑基本知识，倡导低碳绿色生活方式，提高节能环保意识，促进行为节能，形成社会共识。实施绿色建筑、建筑节能和建筑工业化培训计划，强化专业技能，培育专业化人才队伍，构建绿色建筑、建筑节能和建筑工业化发展的良好氛围。</w:t>
      </w:r>
    </w:p>
    <w:sectPr>
      <w:footerReference r:id="rId12" w:type="first"/>
      <w:headerReference r:id="rId11" w:type="default"/>
      <w:pgSz w:w="11906" w:h="16838"/>
      <w:pgMar w:top="1418" w:right="1758" w:bottom="1418" w:left="1758" w:header="851" w:footer="624" w:gutter="0"/>
      <w:pgBorders w:offsetFrom="page">
        <w:top w:val="single" w:color="FFFFFF" w:sz="8" w:space="24"/>
        <w:left w:val="single" w:color="FFFFFF" w:sz="8" w:space="24"/>
        <w:bottom w:val="single" w:color="FFFFFF" w:sz="8" w:space="24"/>
        <w:right w:val="single" w:color="FFFFFF" w:sz="8" w:space="24"/>
      </w:pgBorders>
      <w:pgNumType w:start="1"/>
      <w:cols w:space="720" w:num="1"/>
      <w:docGrid w:type="linesAndChars" w:linePitch="286" w:charSpace="-20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altName w:val="DejaVu Sans"/>
    <w:panose1 w:val="02070309020205020404"/>
    <w:charset w:val="01"/>
    <w:family w:val="modern"/>
    <w:pitch w:val="default"/>
    <w:sig w:usb0="00000000" w:usb1="00000000" w:usb2="00000009" w:usb3="00000000" w:csb0="400001FF" w:csb1="FFFF0000"/>
  </w:font>
  <w:font w:name="Cambria">
    <w:altName w:val="FreeSerif"/>
    <w:panose1 w:val="02040503050406030204"/>
    <w:charset w:val="00"/>
    <w:family w:val="roman"/>
    <w:pitch w:val="default"/>
    <w:sig w:usb0="00000000" w:usb1="00000000" w:usb2="00000000" w:usb3="00000000" w:csb0="2000019F" w:csb1="00000000"/>
  </w:font>
  <w:font w:name="Tahoma">
    <w:altName w:val="Ubuntu"/>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80000287" w:usb1="2A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Arial">
    <w:altName w:val="Times New Roman"/>
    <w:panose1 w:val="020B0604020202020204"/>
    <w:charset w:val="01"/>
    <w:family w:val="swiss"/>
    <w:pitch w:val="default"/>
    <w:sig w:usb0="00000000" w:usb1="00000000" w:usb2="00000009" w:usb3="00000000" w:csb0="400001FF" w:csb1="FFFF0000"/>
  </w:font>
  <w:font w:name="Arail">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90" w:firstLine="360"/>
      <w:jc w:val="righ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27</w:t>
    </w:r>
    <w:r>
      <w:fldChar w:fldCharType="end"/>
    </w:r>
  </w:p>
  <w:p>
    <w:pPr>
      <w:pStyle w:val="18"/>
      <w:ind w:right="90" w:firstLine="360"/>
      <w:jc w:val="right"/>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I</w:t>
    </w:r>
    <w:r>
      <w:fldChar w:fldCharType="end"/>
    </w:r>
  </w:p>
  <w:p>
    <w:pPr>
      <w:pStyle w:val="18"/>
      <w:ind w:firstLine="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fldChar w:fldCharType="begin"/>
    </w:r>
    <w:r>
      <w:instrText xml:space="preserve"> PAGE   \* MERGEFORMAT </w:instrText>
    </w:r>
    <w:r>
      <w:fldChar w:fldCharType="separate"/>
    </w:r>
    <w:r>
      <w:rPr>
        <w:lang w:val="zh-CN"/>
      </w:rPr>
      <w:t>1</w:t>
    </w:r>
    <w:r>
      <w:fldChar w:fldCharType="end"/>
    </w:r>
  </w:p>
  <w:p>
    <w:pPr>
      <w:pStyle w:val="18"/>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523B6"/>
    <w:rsid w:val="00000BFD"/>
    <w:rsid w:val="000011EC"/>
    <w:rsid w:val="0000198C"/>
    <w:rsid w:val="000019D9"/>
    <w:rsid w:val="00002FC9"/>
    <w:rsid w:val="0000354C"/>
    <w:rsid w:val="00004139"/>
    <w:rsid w:val="00004786"/>
    <w:rsid w:val="00005F58"/>
    <w:rsid w:val="00005FBC"/>
    <w:rsid w:val="00006CF0"/>
    <w:rsid w:val="0000729D"/>
    <w:rsid w:val="000104E2"/>
    <w:rsid w:val="00013294"/>
    <w:rsid w:val="00013A73"/>
    <w:rsid w:val="00013C7D"/>
    <w:rsid w:val="00013C9F"/>
    <w:rsid w:val="00014029"/>
    <w:rsid w:val="00014FA0"/>
    <w:rsid w:val="00016F85"/>
    <w:rsid w:val="000171D1"/>
    <w:rsid w:val="00022345"/>
    <w:rsid w:val="00023124"/>
    <w:rsid w:val="000233EF"/>
    <w:rsid w:val="0002424A"/>
    <w:rsid w:val="00024FA4"/>
    <w:rsid w:val="000266D6"/>
    <w:rsid w:val="00026E56"/>
    <w:rsid w:val="000302C0"/>
    <w:rsid w:val="00030D00"/>
    <w:rsid w:val="000311CF"/>
    <w:rsid w:val="00031434"/>
    <w:rsid w:val="000317FE"/>
    <w:rsid w:val="00031CBC"/>
    <w:rsid w:val="0003359A"/>
    <w:rsid w:val="00034CEF"/>
    <w:rsid w:val="0003509A"/>
    <w:rsid w:val="000352A9"/>
    <w:rsid w:val="00035908"/>
    <w:rsid w:val="00035DA6"/>
    <w:rsid w:val="000361AF"/>
    <w:rsid w:val="000366FC"/>
    <w:rsid w:val="00036C15"/>
    <w:rsid w:val="00036CA8"/>
    <w:rsid w:val="0003716C"/>
    <w:rsid w:val="00037BA7"/>
    <w:rsid w:val="00037D6D"/>
    <w:rsid w:val="00040BB9"/>
    <w:rsid w:val="00040BF0"/>
    <w:rsid w:val="000410D7"/>
    <w:rsid w:val="000419E2"/>
    <w:rsid w:val="00041E29"/>
    <w:rsid w:val="00044495"/>
    <w:rsid w:val="00044800"/>
    <w:rsid w:val="00044D47"/>
    <w:rsid w:val="00045BC1"/>
    <w:rsid w:val="00046515"/>
    <w:rsid w:val="00046F1E"/>
    <w:rsid w:val="00047BE8"/>
    <w:rsid w:val="00052146"/>
    <w:rsid w:val="000522BD"/>
    <w:rsid w:val="00052B8D"/>
    <w:rsid w:val="00053095"/>
    <w:rsid w:val="00053D17"/>
    <w:rsid w:val="0005404A"/>
    <w:rsid w:val="00054219"/>
    <w:rsid w:val="00055D5A"/>
    <w:rsid w:val="000608BD"/>
    <w:rsid w:val="00061DDF"/>
    <w:rsid w:val="0006423D"/>
    <w:rsid w:val="00067ED2"/>
    <w:rsid w:val="00070044"/>
    <w:rsid w:val="0007050F"/>
    <w:rsid w:val="00070539"/>
    <w:rsid w:val="000720ED"/>
    <w:rsid w:val="0007451E"/>
    <w:rsid w:val="00075C38"/>
    <w:rsid w:val="00075DC5"/>
    <w:rsid w:val="000769E2"/>
    <w:rsid w:val="0007718A"/>
    <w:rsid w:val="0007776B"/>
    <w:rsid w:val="000823F8"/>
    <w:rsid w:val="000825B9"/>
    <w:rsid w:val="00083944"/>
    <w:rsid w:val="00084691"/>
    <w:rsid w:val="00084D2E"/>
    <w:rsid w:val="000851B2"/>
    <w:rsid w:val="000853A9"/>
    <w:rsid w:val="00085E9F"/>
    <w:rsid w:val="00086908"/>
    <w:rsid w:val="00086931"/>
    <w:rsid w:val="000871F9"/>
    <w:rsid w:val="00087C41"/>
    <w:rsid w:val="00087DF8"/>
    <w:rsid w:val="00090200"/>
    <w:rsid w:val="00091844"/>
    <w:rsid w:val="00092690"/>
    <w:rsid w:val="00092AC4"/>
    <w:rsid w:val="00093BD2"/>
    <w:rsid w:val="00095EF1"/>
    <w:rsid w:val="000A018E"/>
    <w:rsid w:val="000A07AC"/>
    <w:rsid w:val="000A2549"/>
    <w:rsid w:val="000A387D"/>
    <w:rsid w:val="000A3A94"/>
    <w:rsid w:val="000A4A8B"/>
    <w:rsid w:val="000A518B"/>
    <w:rsid w:val="000A58D5"/>
    <w:rsid w:val="000A5E6E"/>
    <w:rsid w:val="000A5F89"/>
    <w:rsid w:val="000A7112"/>
    <w:rsid w:val="000A7B26"/>
    <w:rsid w:val="000B0DBC"/>
    <w:rsid w:val="000B365D"/>
    <w:rsid w:val="000B4113"/>
    <w:rsid w:val="000B471B"/>
    <w:rsid w:val="000B51EF"/>
    <w:rsid w:val="000B5AC6"/>
    <w:rsid w:val="000B67AC"/>
    <w:rsid w:val="000B6D10"/>
    <w:rsid w:val="000B721F"/>
    <w:rsid w:val="000C071B"/>
    <w:rsid w:val="000C0DB5"/>
    <w:rsid w:val="000C2238"/>
    <w:rsid w:val="000C2450"/>
    <w:rsid w:val="000C535F"/>
    <w:rsid w:val="000C5EE1"/>
    <w:rsid w:val="000C5FE3"/>
    <w:rsid w:val="000C61A2"/>
    <w:rsid w:val="000C7E52"/>
    <w:rsid w:val="000D0569"/>
    <w:rsid w:val="000D08CB"/>
    <w:rsid w:val="000D18FB"/>
    <w:rsid w:val="000D2D14"/>
    <w:rsid w:val="000D3253"/>
    <w:rsid w:val="000D505A"/>
    <w:rsid w:val="000D5C4A"/>
    <w:rsid w:val="000D6966"/>
    <w:rsid w:val="000D69B9"/>
    <w:rsid w:val="000D752A"/>
    <w:rsid w:val="000E1B43"/>
    <w:rsid w:val="000E1D90"/>
    <w:rsid w:val="000E2AD9"/>
    <w:rsid w:val="000E2D0E"/>
    <w:rsid w:val="000E4ECE"/>
    <w:rsid w:val="000E58C3"/>
    <w:rsid w:val="000E5ADB"/>
    <w:rsid w:val="000E673E"/>
    <w:rsid w:val="000E6D8F"/>
    <w:rsid w:val="000F1D55"/>
    <w:rsid w:val="000F201D"/>
    <w:rsid w:val="000F27BD"/>
    <w:rsid w:val="000F3146"/>
    <w:rsid w:val="000F34C4"/>
    <w:rsid w:val="000F34EC"/>
    <w:rsid w:val="000F4AA2"/>
    <w:rsid w:val="000F5DD3"/>
    <w:rsid w:val="000F6C96"/>
    <w:rsid w:val="000F6CAC"/>
    <w:rsid w:val="001009BA"/>
    <w:rsid w:val="00100AD2"/>
    <w:rsid w:val="0010322C"/>
    <w:rsid w:val="0010784A"/>
    <w:rsid w:val="00110748"/>
    <w:rsid w:val="00110AF2"/>
    <w:rsid w:val="001111EF"/>
    <w:rsid w:val="0011183D"/>
    <w:rsid w:val="00111D49"/>
    <w:rsid w:val="00111F94"/>
    <w:rsid w:val="00112A67"/>
    <w:rsid w:val="0011302C"/>
    <w:rsid w:val="00113180"/>
    <w:rsid w:val="0011322B"/>
    <w:rsid w:val="00113958"/>
    <w:rsid w:val="00113C85"/>
    <w:rsid w:val="00117EB2"/>
    <w:rsid w:val="00117F31"/>
    <w:rsid w:val="0012195E"/>
    <w:rsid w:val="001224AB"/>
    <w:rsid w:val="00123787"/>
    <w:rsid w:val="00123A1B"/>
    <w:rsid w:val="0012401E"/>
    <w:rsid w:val="00126ADF"/>
    <w:rsid w:val="0012744D"/>
    <w:rsid w:val="00131355"/>
    <w:rsid w:val="00131C11"/>
    <w:rsid w:val="00133A3D"/>
    <w:rsid w:val="001376DF"/>
    <w:rsid w:val="001404CF"/>
    <w:rsid w:val="00141924"/>
    <w:rsid w:val="0014292A"/>
    <w:rsid w:val="001431E9"/>
    <w:rsid w:val="00143491"/>
    <w:rsid w:val="0014576B"/>
    <w:rsid w:val="00145825"/>
    <w:rsid w:val="001464CD"/>
    <w:rsid w:val="001467BC"/>
    <w:rsid w:val="00147922"/>
    <w:rsid w:val="00150039"/>
    <w:rsid w:val="001530C5"/>
    <w:rsid w:val="0015321C"/>
    <w:rsid w:val="00154365"/>
    <w:rsid w:val="001558F4"/>
    <w:rsid w:val="00155C78"/>
    <w:rsid w:val="00156710"/>
    <w:rsid w:val="00156A04"/>
    <w:rsid w:val="00156A76"/>
    <w:rsid w:val="00157ACC"/>
    <w:rsid w:val="001602C0"/>
    <w:rsid w:val="00161C6B"/>
    <w:rsid w:val="00162449"/>
    <w:rsid w:val="001638C9"/>
    <w:rsid w:val="001668DE"/>
    <w:rsid w:val="00170FC7"/>
    <w:rsid w:val="001716C7"/>
    <w:rsid w:val="001735BC"/>
    <w:rsid w:val="00173799"/>
    <w:rsid w:val="00174617"/>
    <w:rsid w:val="00176F30"/>
    <w:rsid w:val="00177A62"/>
    <w:rsid w:val="0018103F"/>
    <w:rsid w:val="001820C4"/>
    <w:rsid w:val="001821E5"/>
    <w:rsid w:val="001848A5"/>
    <w:rsid w:val="00185F7B"/>
    <w:rsid w:val="00185FEB"/>
    <w:rsid w:val="00186229"/>
    <w:rsid w:val="00186C48"/>
    <w:rsid w:val="001874D9"/>
    <w:rsid w:val="001901A9"/>
    <w:rsid w:val="00191F98"/>
    <w:rsid w:val="00192E5D"/>
    <w:rsid w:val="00195E67"/>
    <w:rsid w:val="00197EC3"/>
    <w:rsid w:val="001A075B"/>
    <w:rsid w:val="001A185E"/>
    <w:rsid w:val="001A1E40"/>
    <w:rsid w:val="001A2099"/>
    <w:rsid w:val="001A241D"/>
    <w:rsid w:val="001A25AD"/>
    <w:rsid w:val="001A324E"/>
    <w:rsid w:val="001A3A65"/>
    <w:rsid w:val="001A3E9A"/>
    <w:rsid w:val="001A499B"/>
    <w:rsid w:val="001A4E43"/>
    <w:rsid w:val="001A5AFD"/>
    <w:rsid w:val="001A6F36"/>
    <w:rsid w:val="001A763B"/>
    <w:rsid w:val="001B023E"/>
    <w:rsid w:val="001B0C25"/>
    <w:rsid w:val="001B11DD"/>
    <w:rsid w:val="001B22C3"/>
    <w:rsid w:val="001B2F50"/>
    <w:rsid w:val="001B3999"/>
    <w:rsid w:val="001B43BF"/>
    <w:rsid w:val="001B4FDC"/>
    <w:rsid w:val="001B74BC"/>
    <w:rsid w:val="001C5B57"/>
    <w:rsid w:val="001C6CB0"/>
    <w:rsid w:val="001C6E2C"/>
    <w:rsid w:val="001C7A16"/>
    <w:rsid w:val="001D0646"/>
    <w:rsid w:val="001D1D09"/>
    <w:rsid w:val="001D20BE"/>
    <w:rsid w:val="001D44A3"/>
    <w:rsid w:val="001D5E08"/>
    <w:rsid w:val="001D66BE"/>
    <w:rsid w:val="001E051F"/>
    <w:rsid w:val="001E1648"/>
    <w:rsid w:val="001E1F3F"/>
    <w:rsid w:val="001E289C"/>
    <w:rsid w:val="001E4D6A"/>
    <w:rsid w:val="001E68F9"/>
    <w:rsid w:val="001E7CA7"/>
    <w:rsid w:val="001F0255"/>
    <w:rsid w:val="001F1FA9"/>
    <w:rsid w:val="001F2B3E"/>
    <w:rsid w:val="001F2FCF"/>
    <w:rsid w:val="001F3C63"/>
    <w:rsid w:val="001F4346"/>
    <w:rsid w:val="001F5079"/>
    <w:rsid w:val="001F5A5A"/>
    <w:rsid w:val="001F748B"/>
    <w:rsid w:val="00200BED"/>
    <w:rsid w:val="00202130"/>
    <w:rsid w:val="00203460"/>
    <w:rsid w:val="002034D9"/>
    <w:rsid w:val="00203D3B"/>
    <w:rsid w:val="00204D29"/>
    <w:rsid w:val="00204DE9"/>
    <w:rsid w:val="0020511E"/>
    <w:rsid w:val="00205190"/>
    <w:rsid w:val="002058E8"/>
    <w:rsid w:val="00207AFF"/>
    <w:rsid w:val="00212452"/>
    <w:rsid w:val="002126A6"/>
    <w:rsid w:val="00212831"/>
    <w:rsid w:val="002176F3"/>
    <w:rsid w:val="0022045F"/>
    <w:rsid w:val="0022287A"/>
    <w:rsid w:val="0022781B"/>
    <w:rsid w:val="00230298"/>
    <w:rsid w:val="00230EC3"/>
    <w:rsid w:val="00231B35"/>
    <w:rsid w:val="00234085"/>
    <w:rsid w:val="00234624"/>
    <w:rsid w:val="002359FC"/>
    <w:rsid w:val="002410CE"/>
    <w:rsid w:val="002425E8"/>
    <w:rsid w:val="0024497B"/>
    <w:rsid w:val="002458E8"/>
    <w:rsid w:val="00250D10"/>
    <w:rsid w:val="0025141D"/>
    <w:rsid w:val="00253C2D"/>
    <w:rsid w:val="002542BF"/>
    <w:rsid w:val="0025572A"/>
    <w:rsid w:val="0025599D"/>
    <w:rsid w:val="0025772B"/>
    <w:rsid w:val="00257AB2"/>
    <w:rsid w:val="00257F4F"/>
    <w:rsid w:val="0026027E"/>
    <w:rsid w:val="002624CA"/>
    <w:rsid w:val="0026325F"/>
    <w:rsid w:val="002632BB"/>
    <w:rsid w:val="002634C0"/>
    <w:rsid w:val="002638E3"/>
    <w:rsid w:val="00263FE9"/>
    <w:rsid w:val="002645CA"/>
    <w:rsid w:val="00264703"/>
    <w:rsid w:val="0026489B"/>
    <w:rsid w:val="0026504F"/>
    <w:rsid w:val="00265F14"/>
    <w:rsid w:val="002667B6"/>
    <w:rsid w:val="002679EB"/>
    <w:rsid w:val="00270B71"/>
    <w:rsid w:val="002717D6"/>
    <w:rsid w:val="00271E92"/>
    <w:rsid w:val="00273DB6"/>
    <w:rsid w:val="00274267"/>
    <w:rsid w:val="002744F5"/>
    <w:rsid w:val="002770C4"/>
    <w:rsid w:val="002773AC"/>
    <w:rsid w:val="00277919"/>
    <w:rsid w:val="002804A4"/>
    <w:rsid w:val="00281793"/>
    <w:rsid w:val="002824E8"/>
    <w:rsid w:val="002875DA"/>
    <w:rsid w:val="0029072C"/>
    <w:rsid w:val="00292DBF"/>
    <w:rsid w:val="0029312F"/>
    <w:rsid w:val="00293710"/>
    <w:rsid w:val="0029410D"/>
    <w:rsid w:val="00294234"/>
    <w:rsid w:val="0029608F"/>
    <w:rsid w:val="002970EC"/>
    <w:rsid w:val="002A3136"/>
    <w:rsid w:val="002A4F59"/>
    <w:rsid w:val="002A7C40"/>
    <w:rsid w:val="002B07E9"/>
    <w:rsid w:val="002B1237"/>
    <w:rsid w:val="002B1442"/>
    <w:rsid w:val="002B169E"/>
    <w:rsid w:val="002B1F1F"/>
    <w:rsid w:val="002B27DD"/>
    <w:rsid w:val="002B7771"/>
    <w:rsid w:val="002C1069"/>
    <w:rsid w:val="002C255D"/>
    <w:rsid w:val="002C2EE5"/>
    <w:rsid w:val="002C4AA2"/>
    <w:rsid w:val="002D0D0D"/>
    <w:rsid w:val="002D22B7"/>
    <w:rsid w:val="002D26C6"/>
    <w:rsid w:val="002D3F14"/>
    <w:rsid w:val="002D5EBE"/>
    <w:rsid w:val="002D7580"/>
    <w:rsid w:val="002D7BDC"/>
    <w:rsid w:val="002E0B5B"/>
    <w:rsid w:val="002E2178"/>
    <w:rsid w:val="002E3F23"/>
    <w:rsid w:val="002E5010"/>
    <w:rsid w:val="002E51B4"/>
    <w:rsid w:val="002E5B8B"/>
    <w:rsid w:val="002E7205"/>
    <w:rsid w:val="002E7B2C"/>
    <w:rsid w:val="002F007C"/>
    <w:rsid w:val="002F0CC7"/>
    <w:rsid w:val="002F108B"/>
    <w:rsid w:val="002F1A63"/>
    <w:rsid w:val="002F2130"/>
    <w:rsid w:val="002F222F"/>
    <w:rsid w:val="002F44B0"/>
    <w:rsid w:val="002F4BC0"/>
    <w:rsid w:val="002F4E11"/>
    <w:rsid w:val="002F545A"/>
    <w:rsid w:val="002F557E"/>
    <w:rsid w:val="002F5CFA"/>
    <w:rsid w:val="002F6ED0"/>
    <w:rsid w:val="002F7B64"/>
    <w:rsid w:val="00300B15"/>
    <w:rsid w:val="0030197A"/>
    <w:rsid w:val="00303850"/>
    <w:rsid w:val="00304EB7"/>
    <w:rsid w:val="0031242A"/>
    <w:rsid w:val="00312C77"/>
    <w:rsid w:val="00313101"/>
    <w:rsid w:val="003141B6"/>
    <w:rsid w:val="003150B5"/>
    <w:rsid w:val="003161F2"/>
    <w:rsid w:val="00316BE3"/>
    <w:rsid w:val="003235FF"/>
    <w:rsid w:val="003243B3"/>
    <w:rsid w:val="00325940"/>
    <w:rsid w:val="003260CE"/>
    <w:rsid w:val="0032794F"/>
    <w:rsid w:val="00331B30"/>
    <w:rsid w:val="0033583A"/>
    <w:rsid w:val="00335B37"/>
    <w:rsid w:val="00336C54"/>
    <w:rsid w:val="00337C75"/>
    <w:rsid w:val="00337D90"/>
    <w:rsid w:val="0034066B"/>
    <w:rsid w:val="0034121D"/>
    <w:rsid w:val="0034173B"/>
    <w:rsid w:val="00341761"/>
    <w:rsid w:val="00341766"/>
    <w:rsid w:val="00343246"/>
    <w:rsid w:val="00343615"/>
    <w:rsid w:val="00343C4B"/>
    <w:rsid w:val="00344039"/>
    <w:rsid w:val="00344410"/>
    <w:rsid w:val="003457A2"/>
    <w:rsid w:val="003473F3"/>
    <w:rsid w:val="00347A4B"/>
    <w:rsid w:val="00347C7C"/>
    <w:rsid w:val="00351C5F"/>
    <w:rsid w:val="00352456"/>
    <w:rsid w:val="0035298E"/>
    <w:rsid w:val="0035481F"/>
    <w:rsid w:val="00355CDB"/>
    <w:rsid w:val="003563B8"/>
    <w:rsid w:val="003565F5"/>
    <w:rsid w:val="00360C2E"/>
    <w:rsid w:val="00364A31"/>
    <w:rsid w:val="003658D3"/>
    <w:rsid w:val="00367FD5"/>
    <w:rsid w:val="003718C0"/>
    <w:rsid w:val="00371C0D"/>
    <w:rsid w:val="003720C5"/>
    <w:rsid w:val="00372601"/>
    <w:rsid w:val="003732CF"/>
    <w:rsid w:val="00373394"/>
    <w:rsid w:val="00373DAE"/>
    <w:rsid w:val="003742AE"/>
    <w:rsid w:val="00374703"/>
    <w:rsid w:val="003810A5"/>
    <w:rsid w:val="00381329"/>
    <w:rsid w:val="00381E0C"/>
    <w:rsid w:val="003820E1"/>
    <w:rsid w:val="00384A01"/>
    <w:rsid w:val="003851F9"/>
    <w:rsid w:val="00385C51"/>
    <w:rsid w:val="00385FE8"/>
    <w:rsid w:val="003903E0"/>
    <w:rsid w:val="00393085"/>
    <w:rsid w:val="003A2CF5"/>
    <w:rsid w:val="003A2D0C"/>
    <w:rsid w:val="003A30F6"/>
    <w:rsid w:val="003A34A0"/>
    <w:rsid w:val="003A36E5"/>
    <w:rsid w:val="003A39B0"/>
    <w:rsid w:val="003A3A2C"/>
    <w:rsid w:val="003A4092"/>
    <w:rsid w:val="003A415E"/>
    <w:rsid w:val="003A461B"/>
    <w:rsid w:val="003A5200"/>
    <w:rsid w:val="003A5C3A"/>
    <w:rsid w:val="003A5F58"/>
    <w:rsid w:val="003A6550"/>
    <w:rsid w:val="003A7BD5"/>
    <w:rsid w:val="003B25E0"/>
    <w:rsid w:val="003B3B55"/>
    <w:rsid w:val="003B4C6D"/>
    <w:rsid w:val="003B695E"/>
    <w:rsid w:val="003C0323"/>
    <w:rsid w:val="003C1A9A"/>
    <w:rsid w:val="003C1F25"/>
    <w:rsid w:val="003C2D65"/>
    <w:rsid w:val="003C31AC"/>
    <w:rsid w:val="003C66C1"/>
    <w:rsid w:val="003C70B2"/>
    <w:rsid w:val="003C7F6E"/>
    <w:rsid w:val="003D228E"/>
    <w:rsid w:val="003D238D"/>
    <w:rsid w:val="003D2E6E"/>
    <w:rsid w:val="003D42FD"/>
    <w:rsid w:val="003D5457"/>
    <w:rsid w:val="003D5B7C"/>
    <w:rsid w:val="003D6A35"/>
    <w:rsid w:val="003D6F13"/>
    <w:rsid w:val="003D7B64"/>
    <w:rsid w:val="003E29AB"/>
    <w:rsid w:val="003E2A6C"/>
    <w:rsid w:val="003E2B6A"/>
    <w:rsid w:val="003E2FE1"/>
    <w:rsid w:val="003E383F"/>
    <w:rsid w:val="003E3D11"/>
    <w:rsid w:val="003E45C8"/>
    <w:rsid w:val="003E4AF2"/>
    <w:rsid w:val="003E4E9D"/>
    <w:rsid w:val="003E6521"/>
    <w:rsid w:val="003E6961"/>
    <w:rsid w:val="003F12DA"/>
    <w:rsid w:val="003F3412"/>
    <w:rsid w:val="003F44F9"/>
    <w:rsid w:val="003F62BB"/>
    <w:rsid w:val="003F7634"/>
    <w:rsid w:val="003F79C3"/>
    <w:rsid w:val="003F7AD0"/>
    <w:rsid w:val="004003C6"/>
    <w:rsid w:val="004010CF"/>
    <w:rsid w:val="00401E35"/>
    <w:rsid w:val="0040377B"/>
    <w:rsid w:val="00405508"/>
    <w:rsid w:val="0040799C"/>
    <w:rsid w:val="004101E1"/>
    <w:rsid w:val="004122F1"/>
    <w:rsid w:val="0041324B"/>
    <w:rsid w:val="004132B3"/>
    <w:rsid w:val="0041345A"/>
    <w:rsid w:val="004158A0"/>
    <w:rsid w:val="00415A23"/>
    <w:rsid w:val="00415AFC"/>
    <w:rsid w:val="00415D16"/>
    <w:rsid w:val="004163F2"/>
    <w:rsid w:val="0041710D"/>
    <w:rsid w:val="00417779"/>
    <w:rsid w:val="00420846"/>
    <w:rsid w:val="004260F6"/>
    <w:rsid w:val="004275FC"/>
    <w:rsid w:val="004279B2"/>
    <w:rsid w:val="004301F5"/>
    <w:rsid w:val="00430E7D"/>
    <w:rsid w:val="00431CC1"/>
    <w:rsid w:val="00432910"/>
    <w:rsid w:val="00432C57"/>
    <w:rsid w:val="00432CAE"/>
    <w:rsid w:val="00433A4A"/>
    <w:rsid w:val="00434315"/>
    <w:rsid w:val="00435659"/>
    <w:rsid w:val="00437401"/>
    <w:rsid w:val="004375F6"/>
    <w:rsid w:val="00437858"/>
    <w:rsid w:val="00440007"/>
    <w:rsid w:val="0044081F"/>
    <w:rsid w:val="004412B7"/>
    <w:rsid w:val="004415D6"/>
    <w:rsid w:val="00441B0B"/>
    <w:rsid w:val="00442658"/>
    <w:rsid w:val="00443039"/>
    <w:rsid w:val="00446135"/>
    <w:rsid w:val="0044660B"/>
    <w:rsid w:val="00446733"/>
    <w:rsid w:val="00447EAB"/>
    <w:rsid w:val="004502BD"/>
    <w:rsid w:val="00450F9C"/>
    <w:rsid w:val="00451596"/>
    <w:rsid w:val="004530A0"/>
    <w:rsid w:val="004546EC"/>
    <w:rsid w:val="00454F0A"/>
    <w:rsid w:val="004561CA"/>
    <w:rsid w:val="004561D0"/>
    <w:rsid w:val="00457637"/>
    <w:rsid w:val="00457994"/>
    <w:rsid w:val="004608FC"/>
    <w:rsid w:val="004613AF"/>
    <w:rsid w:val="00461EE1"/>
    <w:rsid w:val="00464EEB"/>
    <w:rsid w:val="004665BD"/>
    <w:rsid w:val="00466A3B"/>
    <w:rsid w:val="00472A0F"/>
    <w:rsid w:val="004735D9"/>
    <w:rsid w:val="00474AD0"/>
    <w:rsid w:val="00475C52"/>
    <w:rsid w:val="00476D87"/>
    <w:rsid w:val="00477E83"/>
    <w:rsid w:val="00482540"/>
    <w:rsid w:val="00482621"/>
    <w:rsid w:val="00482C88"/>
    <w:rsid w:val="004847E5"/>
    <w:rsid w:val="00485DA1"/>
    <w:rsid w:val="0048636E"/>
    <w:rsid w:val="004866D6"/>
    <w:rsid w:val="00486936"/>
    <w:rsid w:val="00491CE3"/>
    <w:rsid w:val="00491D65"/>
    <w:rsid w:val="0049209D"/>
    <w:rsid w:val="00492123"/>
    <w:rsid w:val="00492971"/>
    <w:rsid w:val="00495AFA"/>
    <w:rsid w:val="00496B78"/>
    <w:rsid w:val="004972DD"/>
    <w:rsid w:val="004A0267"/>
    <w:rsid w:val="004A0A50"/>
    <w:rsid w:val="004A127B"/>
    <w:rsid w:val="004A13B7"/>
    <w:rsid w:val="004A1713"/>
    <w:rsid w:val="004A177F"/>
    <w:rsid w:val="004A1A79"/>
    <w:rsid w:val="004A2AB9"/>
    <w:rsid w:val="004A5EF3"/>
    <w:rsid w:val="004A7F62"/>
    <w:rsid w:val="004B1B5A"/>
    <w:rsid w:val="004B2034"/>
    <w:rsid w:val="004B344B"/>
    <w:rsid w:val="004B3838"/>
    <w:rsid w:val="004B3B61"/>
    <w:rsid w:val="004B3C34"/>
    <w:rsid w:val="004B4DFA"/>
    <w:rsid w:val="004B6B56"/>
    <w:rsid w:val="004C06AE"/>
    <w:rsid w:val="004C0F05"/>
    <w:rsid w:val="004C1200"/>
    <w:rsid w:val="004C15B6"/>
    <w:rsid w:val="004C1F11"/>
    <w:rsid w:val="004C2B95"/>
    <w:rsid w:val="004C4166"/>
    <w:rsid w:val="004C5B6C"/>
    <w:rsid w:val="004C6683"/>
    <w:rsid w:val="004C66D6"/>
    <w:rsid w:val="004D046E"/>
    <w:rsid w:val="004D2F7D"/>
    <w:rsid w:val="004D30D3"/>
    <w:rsid w:val="004D5C1A"/>
    <w:rsid w:val="004D6116"/>
    <w:rsid w:val="004D6289"/>
    <w:rsid w:val="004D6789"/>
    <w:rsid w:val="004D701A"/>
    <w:rsid w:val="004D7B2C"/>
    <w:rsid w:val="004E09CD"/>
    <w:rsid w:val="004E0B46"/>
    <w:rsid w:val="004E1AA9"/>
    <w:rsid w:val="004E20D9"/>
    <w:rsid w:val="004E23B1"/>
    <w:rsid w:val="004E2BC2"/>
    <w:rsid w:val="004E3406"/>
    <w:rsid w:val="004E3F1C"/>
    <w:rsid w:val="004E4EF3"/>
    <w:rsid w:val="004E5D1C"/>
    <w:rsid w:val="004F2154"/>
    <w:rsid w:val="004F21F1"/>
    <w:rsid w:val="004F3FA9"/>
    <w:rsid w:val="004F562F"/>
    <w:rsid w:val="004F5769"/>
    <w:rsid w:val="004F59C1"/>
    <w:rsid w:val="004F5C4F"/>
    <w:rsid w:val="004F6400"/>
    <w:rsid w:val="004F6B72"/>
    <w:rsid w:val="004F7FF0"/>
    <w:rsid w:val="005008B3"/>
    <w:rsid w:val="005010F4"/>
    <w:rsid w:val="005013D0"/>
    <w:rsid w:val="00502DD9"/>
    <w:rsid w:val="0050328D"/>
    <w:rsid w:val="0050473E"/>
    <w:rsid w:val="00505FE7"/>
    <w:rsid w:val="00512496"/>
    <w:rsid w:val="00513293"/>
    <w:rsid w:val="005146F0"/>
    <w:rsid w:val="00514B33"/>
    <w:rsid w:val="005211F4"/>
    <w:rsid w:val="00521E42"/>
    <w:rsid w:val="005230B8"/>
    <w:rsid w:val="005249EC"/>
    <w:rsid w:val="00524C37"/>
    <w:rsid w:val="00526A27"/>
    <w:rsid w:val="00527544"/>
    <w:rsid w:val="005305AB"/>
    <w:rsid w:val="005310CF"/>
    <w:rsid w:val="005317D0"/>
    <w:rsid w:val="00531AC0"/>
    <w:rsid w:val="00532839"/>
    <w:rsid w:val="00532BEF"/>
    <w:rsid w:val="00533C45"/>
    <w:rsid w:val="00534BB7"/>
    <w:rsid w:val="0053632F"/>
    <w:rsid w:val="0054049D"/>
    <w:rsid w:val="0054080A"/>
    <w:rsid w:val="005409F3"/>
    <w:rsid w:val="00540F65"/>
    <w:rsid w:val="0054102C"/>
    <w:rsid w:val="005419F8"/>
    <w:rsid w:val="00542A2B"/>
    <w:rsid w:val="0054440A"/>
    <w:rsid w:val="0054696C"/>
    <w:rsid w:val="00546A17"/>
    <w:rsid w:val="00546F50"/>
    <w:rsid w:val="0054716C"/>
    <w:rsid w:val="00550AD2"/>
    <w:rsid w:val="00550B7F"/>
    <w:rsid w:val="00550D3F"/>
    <w:rsid w:val="00551359"/>
    <w:rsid w:val="00551CEA"/>
    <w:rsid w:val="00551E00"/>
    <w:rsid w:val="005525A0"/>
    <w:rsid w:val="00552FA7"/>
    <w:rsid w:val="00553A37"/>
    <w:rsid w:val="00553A5F"/>
    <w:rsid w:val="00554111"/>
    <w:rsid w:val="00554F9C"/>
    <w:rsid w:val="0055692D"/>
    <w:rsid w:val="005607E2"/>
    <w:rsid w:val="00560B7D"/>
    <w:rsid w:val="00560D73"/>
    <w:rsid w:val="00560ECE"/>
    <w:rsid w:val="00561720"/>
    <w:rsid w:val="0056321B"/>
    <w:rsid w:val="00564F55"/>
    <w:rsid w:val="00565F5B"/>
    <w:rsid w:val="00573178"/>
    <w:rsid w:val="00573308"/>
    <w:rsid w:val="00573E3A"/>
    <w:rsid w:val="005757DD"/>
    <w:rsid w:val="005758F3"/>
    <w:rsid w:val="00575D87"/>
    <w:rsid w:val="005766D4"/>
    <w:rsid w:val="00576C02"/>
    <w:rsid w:val="00577B08"/>
    <w:rsid w:val="00577D81"/>
    <w:rsid w:val="00587581"/>
    <w:rsid w:val="00587A5C"/>
    <w:rsid w:val="00587D15"/>
    <w:rsid w:val="00591805"/>
    <w:rsid w:val="00591B37"/>
    <w:rsid w:val="00594F5F"/>
    <w:rsid w:val="00595D1E"/>
    <w:rsid w:val="005A1272"/>
    <w:rsid w:val="005A1621"/>
    <w:rsid w:val="005A16DB"/>
    <w:rsid w:val="005A1CF5"/>
    <w:rsid w:val="005A2423"/>
    <w:rsid w:val="005A2CA9"/>
    <w:rsid w:val="005A390A"/>
    <w:rsid w:val="005A7656"/>
    <w:rsid w:val="005A7841"/>
    <w:rsid w:val="005B2ED3"/>
    <w:rsid w:val="005B3446"/>
    <w:rsid w:val="005B3EAC"/>
    <w:rsid w:val="005B4048"/>
    <w:rsid w:val="005C05B9"/>
    <w:rsid w:val="005C1AEE"/>
    <w:rsid w:val="005C62C0"/>
    <w:rsid w:val="005C6EA7"/>
    <w:rsid w:val="005C7BB0"/>
    <w:rsid w:val="005D05F2"/>
    <w:rsid w:val="005D086F"/>
    <w:rsid w:val="005D0DA2"/>
    <w:rsid w:val="005D18B2"/>
    <w:rsid w:val="005D18D5"/>
    <w:rsid w:val="005D3A64"/>
    <w:rsid w:val="005D4305"/>
    <w:rsid w:val="005D7AF4"/>
    <w:rsid w:val="005E02F0"/>
    <w:rsid w:val="005E089F"/>
    <w:rsid w:val="005E0A5B"/>
    <w:rsid w:val="005E1DA3"/>
    <w:rsid w:val="005E334F"/>
    <w:rsid w:val="005E3D13"/>
    <w:rsid w:val="005E6413"/>
    <w:rsid w:val="005E6D36"/>
    <w:rsid w:val="005E7D08"/>
    <w:rsid w:val="005F0E8C"/>
    <w:rsid w:val="005F2FB7"/>
    <w:rsid w:val="005F4D25"/>
    <w:rsid w:val="005F5B3B"/>
    <w:rsid w:val="005F6124"/>
    <w:rsid w:val="005F68F3"/>
    <w:rsid w:val="005F77F6"/>
    <w:rsid w:val="006000EA"/>
    <w:rsid w:val="0060011D"/>
    <w:rsid w:val="00600A05"/>
    <w:rsid w:val="00600A36"/>
    <w:rsid w:val="006048FC"/>
    <w:rsid w:val="0060576B"/>
    <w:rsid w:val="0060783A"/>
    <w:rsid w:val="0061242C"/>
    <w:rsid w:val="00612E07"/>
    <w:rsid w:val="00612F93"/>
    <w:rsid w:val="00613538"/>
    <w:rsid w:val="00613FB1"/>
    <w:rsid w:val="006140CB"/>
    <w:rsid w:val="006147D0"/>
    <w:rsid w:val="00614BDF"/>
    <w:rsid w:val="00616C32"/>
    <w:rsid w:val="00616EA2"/>
    <w:rsid w:val="00620822"/>
    <w:rsid w:val="00620B1F"/>
    <w:rsid w:val="00620F67"/>
    <w:rsid w:val="00622330"/>
    <w:rsid w:val="006233EA"/>
    <w:rsid w:val="00623D7C"/>
    <w:rsid w:val="006266DC"/>
    <w:rsid w:val="00626A6B"/>
    <w:rsid w:val="006275AF"/>
    <w:rsid w:val="00627C47"/>
    <w:rsid w:val="00630523"/>
    <w:rsid w:val="0063134A"/>
    <w:rsid w:val="00632135"/>
    <w:rsid w:val="00636156"/>
    <w:rsid w:val="00636AFA"/>
    <w:rsid w:val="00636B9F"/>
    <w:rsid w:val="006402CD"/>
    <w:rsid w:val="00640477"/>
    <w:rsid w:val="00640607"/>
    <w:rsid w:val="0064155C"/>
    <w:rsid w:val="006425CB"/>
    <w:rsid w:val="00643289"/>
    <w:rsid w:val="00643B3F"/>
    <w:rsid w:val="006448DE"/>
    <w:rsid w:val="00645234"/>
    <w:rsid w:val="00650274"/>
    <w:rsid w:val="00653003"/>
    <w:rsid w:val="00655516"/>
    <w:rsid w:val="0066053D"/>
    <w:rsid w:val="0066055A"/>
    <w:rsid w:val="006606B7"/>
    <w:rsid w:val="00660BE1"/>
    <w:rsid w:val="006636BB"/>
    <w:rsid w:val="00664AA9"/>
    <w:rsid w:val="006660A7"/>
    <w:rsid w:val="00666381"/>
    <w:rsid w:val="0066720E"/>
    <w:rsid w:val="006706A9"/>
    <w:rsid w:val="006706B4"/>
    <w:rsid w:val="00670CD0"/>
    <w:rsid w:val="006724C1"/>
    <w:rsid w:val="006729A9"/>
    <w:rsid w:val="00672A3D"/>
    <w:rsid w:val="00673D60"/>
    <w:rsid w:val="006748BF"/>
    <w:rsid w:val="00674EF7"/>
    <w:rsid w:val="00675E8C"/>
    <w:rsid w:val="00676FF6"/>
    <w:rsid w:val="00677554"/>
    <w:rsid w:val="0067789D"/>
    <w:rsid w:val="00681260"/>
    <w:rsid w:val="0068128F"/>
    <w:rsid w:val="00681525"/>
    <w:rsid w:val="00682423"/>
    <w:rsid w:val="006829DD"/>
    <w:rsid w:val="0068366F"/>
    <w:rsid w:val="00685CCE"/>
    <w:rsid w:val="00686EB2"/>
    <w:rsid w:val="006871F9"/>
    <w:rsid w:val="0068765C"/>
    <w:rsid w:val="00687847"/>
    <w:rsid w:val="006902B6"/>
    <w:rsid w:val="00691B42"/>
    <w:rsid w:val="00691DB4"/>
    <w:rsid w:val="006926D7"/>
    <w:rsid w:val="00694B5F"/>
    <w:rsid w:val="0069529C"/>
    <w:rsid w:val="00696FCE"/>
    <w:rsid w:val="0069749F"/>
    <w:rsid w:val="006A156F"/>
    <w:rsid w:val="006A2B97"/>
    <w:rsid w:val="006A456E"/>
    <w:rsid w:val="006A46B9"/>
    <w:rsid w:val="006A4906"/>
    <w:rsid w:val="006A6240"/>
    <w:rsid w:val="006A682C"/>
    <w:rsid w:val="006A7738"/>
    <w:rsid w:val="006B1B55"/>
    <w:rsid w:val="006B1E43"/>
    <w:rsid w:val="006B36DA"/>
    <w:rsid w:val="006B43A1"/>
    <w:rsid w:val="006B4B97"/>
    <w:rsid w:val="006B4D35"/>
    <w:rsid w:val="006B65CE"/>
    <w:rsid w:val="006C06FB"/>
    <w:rsid w:val="006C08DF"/>
    <w:rsid w:val="006C0E90"/>
    <w:rsid w:val="006C11FD"/>
    <w:rsid w:val="006C2D30"/>
    <w:rsid w:val="006C6136"/>
    <w:rsid w:val="006C629C"/>
    <w:rsid w:val="006C6EAF"/>
    <w:rsid w:val="006D27F7"/>
    <w:rsid w:val="006D29CD"/>
    <w:rsid w:val="006D35A7"/>
    <w:rsid w:val="006D3DF6"/>
    <w:rsid w:val="006D63F7"/>
    <w:rsid w:val="006D6A20"/>
    <w:rsid w:val="006D733C"/>
    <w:rsid w:val="006D7525"/>
    <w:rsid w:val="006D7937"/>
    <w:rsid w:val="006D7BD5"/>
    <w:rsid w:val="006E0F59"/>
    <w:rsid w:val="006E2781"/>
    <w:rsid w:val="006E2D34"/>
    <w:rsid w:val="006E355B"/>
    <w:rsid w:val="006E4481"/>
    <w:rsid w:val="006E4C6A"/>
    <w:rsid w:val="006E5459"/>
    <w:rsid w:val="006E66A5"/>
    <w:rsid w:val="006F02F2"/>
    <w:rsid w:val="006F03E4"/>
    <w:rsid w:val="006F061E"/>
    <w:rsid w:val="006F0BDC"/>
    <w:rsid w:val="006F11DA"/>
    <w:rsid w:val="006F2758"/>
    <w:rsid w:val="006F2D0F"/>
    <w:rsid w:val="006F2E26"/>
    <w:rsid w:val="006F2E4C"/>
    <w:rsid w:val="006F3756"/>
    <w:rsid w:val="006F3AF9"/>
    <w:rsid w:val="006F3CFF"/>
    <w:rsid w:val="006F62AD"/>
    <w:rsid w:val="006F74FB"/>
    <w:rsid w:val="006F7A76"/>
    <w:rsid w:val="006F7A94"/>
    <w:rsid w:val="00700579"/>
    <w:rsid w:val="00700850"/>
    <w:rsid w:val="007012D0"/>
    <w:rsid w:val="007024DE"/>
    <w:rsid w:val="007028C5"/>
    <w:rsid w:val="00704D9C"/>
    <w:rsid w:val="00705E73"/>
    <w:rsid w:val="00706B5D"/>
    <w:rsid w:val="00706F53"/>
    <w:rsid w:val="00707ED1"/>
    <w:rsid w:val="00711976"/>
    <w:rsid w:val="0071296A"/>
    <w:rsid w:val="00712BC5"/>
    <w:rsid w:val="00712C55"/>
    <w:rsid w:val="00714494"/>
    <w:rsid w:val="007146EE"/>
    <w:rsid w:val="00714D92"/>
    <w:rsid w:val="00714DC6"/>
    <w:rsid w:val="007161B7"/>
    <w:rsid w:val="00717509"/>
    <w:rsid w:val="007213EC"/>
    <w:rsid w:val="0072496C"/>
    <w:rsid w:val="00724E42"/>
    <w:rsid w:val="00725547"/>
    <w:rsid w:val="00730D4A"/>
    <w:rsid w:val="00733031"/>
    <w:rsid w:val="00733C31"/>
    <w:rsid w:val="00735507"/>
    <w:rsid w:val="00735BE5"/>
    <w:rsid w:val="00735CC5"/>
    <w:rsid w:val="00736280"/>
    <w:rsid w:val="00741546"/>
    <w:rsid w:val="0074380B"/>
    <w:rsid w:val="007503AF"/>
    <w:rsid w:val="00750BAE"/>
    <w:rsid w:val="00751009"/>
    <w:rsid w:val="007515C7"/>
    <w:rsid w:val="00751895"/>
    <w:rsid w:val="007529C5"/>
    <w:rsid w:val="00752C32"/>
    <w:rsid w:val="00752F40"/>
    <w:rsid w:val="0075519E"/>
    <w:rsid w:val="00760EF2"/>
    <w:rsid w:val="007610A7"/>
    <w:rsid w:val="00762950"/>
    <w:rsid w:val="00763083"/>
    <w:rsid w:val="00763C1D"/>
    <w:rsid w:val="007648C0"/>
    <w:rsid w:val="00765108"/>
    <w:rsid w:val="0077050C"/>
    <w:rsid w:val="007727E5"/>
    <w:rsid w:val="00772931"/>
    <w:rsid w:val="007737A6"/>
    <w:rsid w:val="00774085"/>
    <w:rsid w:val="0077462F"/>
    <w:rsid w:val="007756EA"/>
    <w:rsid w:val="00775E4D"/>
    <w:rsid w:val="0077637E"/>
    <w:rsid w:val="00776F7B"/>
    <w:rsid w:val="0078061F"/>
    <w:rsid w:val="00780861"/>
    <w:rsid w:val="00781BDB"/>
    <w:rsid w:val="00781C76"/>
    <w:rsid w:val="00781CB0"/>
    <w:rsid w:val="00782BA4"/>
    <w:rsid w:val="00782D51"/>
    <w:rsid w:val="0078676D"/>
    <w:rsid w:val="0078716C"/>
    <w:rsid w:val="0078754F"/>
    <w:rsid w:val="007877B7"/>
    <w:rsid w:val="00791FA9"/>
    <w:rsid w:val="00793174"/>
    <w:rsid w:val="00793A0B"/>
    <w:rsid w:val="007944ED"/>
    <w:rsid w:val="007950EC"/>
    <w:rsid w:val="007A0518"/>
    <w:rsid w:val="007A21FC"/>
    <w:rsid w:val="007A45D7"/>
    <w:rsid w:val="007A4C8B"/>
    <w:rsid w:val="007A5F06"/>
    <w:rsid w:val="007A7F1E"/>
    <w:rsid w:val="007B151F"/>
    <w:rsid w:val="007B1966"/>
    <w:rsid w:val="007B251A"/>
    <w:rsid w:val="007B2CB7"/>
    <w:rsid w:val="007B2CCD"/>
    <w:rsid w:val="007B3BEE"/>
    <w:rsid w:val="007B455D"/>
    <w:rsid w:val="007B469C"/>
    <w:rsid w:val="007B645D"/>
    <w:rsid w:val="007B7EAE"/>
    <w:rsid w:val="007C2C2A"/>
    <w:rsid w:val="007C4140"/>
    <w:rsid w:val="007C4AA7"/>
    <w:rsid w:val="007C5A2C"/>
    <w:rsid w:val="007D082F"/>
    <w:rsid w:val="007D58A7"/>
    <w:rsid w:val="007E0400"/>
    <w:rsid w:val="007E08D0"/>
    <w:rsid w:val="007E0C8D"/>
    <w:rsid w:val="007E1011"/>
    <w:rsid w:val="007E6220"/>
    <w:rsid w:val="007E710A"/>
    <w:rsid w:val="007E754B"/>
    <w:rsid w:val="007F0299"/>
    <w:rsid w:val="007F197A"/>
    <w:rsid w:val="007F1993"/>
    <w:rsid w:val="007F1E6C"/>
    <w:rsid w:val="007F4E04"/>
    <w:rsid w:val="007F4F78"/>
    <w:rsid w:val="007F7AC2"/>
    <w:rsid w:val="00801812"/>
    <w:rsid w:val="00801CAA"/>
    <w:rsid w:val="00802440"/>
    <w:rsid w:val="00803032"/>
    <w:rsid w:val="00804878"/>
    <w:rsid w:val="0080522B"/>
    <w:rsid w:val="00806A71"/>
    <w:rsid w:val="00806ABD"/>
    <w:rsid w:val="0081038B"/>
    <w:rsid w:val="0081048E"/>
    <w:rsid w:val="00810592"/>
    <w:rsid w:val="008125D8"/>
    <w:rsid w:val="00812C43"/>
    <w:rsid w:val="00812D78"/>
    <w:rsid w:val="008158D8"/>
    <w:rsid w:val="00820045"/>
    <w:rsid w:val="00820327"/>
    <w:rsid w:val="008231BD"/>
    <w:rsid w:val="0082548F"/>
    <w:rsid w:val="008255F8"/>
    <w:rsid w:val="0082595F"/>
    <w:rsid w:val="008266BF"/>
    <w:rsid w:val="00830058"/>
    <w:rsid w:val="00830F6D"/>
    <w:rsid w:val="0083156E"/>
    <w:rsid w:val="008315D2"/>
    <w:rsid w:val="0083247A"/>
    <w:rsid w:val="00832663"/>
    <w:rsid w:val="00833174"/>
    <w:rsid w:val="00833C96"/>
    <w:rsid w:val="008355B0"/>
    <w:rsid w:val="00835679"/>
    <w:rsid w:val="008359A5"/>
    <w:rsid w:val="0084032B"/>
    <w:rsid w:val="00840987"/>
    <w:rsid w:val="008409AC"/>
    <w:rsid w:val="0084126F"/>
    <w:rsid w:val="00841998"/>
    <w:rsid w:val="00841DF1"/>
    <w:rsid w:val="00843B42"/>
    <w:rsid w:val="00844968"/>
    <w:rsid w:val="00844AB4"/>
    <w:rsid w:val="00846485"/>
    <w:rsid w:val="0084658A"/>
    <w:rsid w:val="008466F9"/>
    <w:rsid w:val="00847D22"/>
    <w:rsid w:val="00851B75"/>
    <w:rsid w:val="00852297"/>
    <w:rsid w:val="0085316E"/>
    <w:rsid w:val="0085384C"/>
    <w:rsid w:val="008546A2"/>
    <w:rsid w:val="00857C0F"/>
    <w:rsid w:val="00861D15"/>
    <w:rsid w:val="008623BA"/>
    <w:rsid w:val="00864468"/>
    <w:rsid w:val="00865118"/>
    <w:rsid w:val="00870FFF"/>
    <w:rsid w:val="00872011"/>
    <w:rsid w:val="0087653F"/>
    <w:rsid w:val="00876A20"/>
    <w:rsid w:val="00877DB8"/>
    <w:rsid w:val="008802B6"/>
    <w:rsid w:val="00880672"/>
    <w:rsid w:val="00886DB2"/>
    <w:rsid w:val="00886DDD"/>
    <w:rsid w:val="00890DD5"/>
    <w:rsid w:val="00892388"/>
    <w:rsid w:val="00894F2B"/>
    <w:rsid w:val="00895770"/>
    <w:rsid w:val="0089762D"/>
    <w:rsid w:val="008977EE"/>
    <w:rsid w:val="008A163D"/>
    <w:rsid w:val="008A27B9"/>
    <w:rsid w:val="008A28DE"/>
    <w:rsid w:val="008A5361"/>
    <w:rsid w:val="008A59A1"/>
    <w:rsid w:val="008A663E"/>
    <w:rsid w:val="008A66F0"/>
    <w:rsid w:val="008B0178"/>
    <w:rsid w:val="008B22B9"/>
    <w:rsid w:val="008B4835"/>
    <w:rsid w:val="008B6DB1"/>
    <w:rsid w:val="008C06D8"/>
    <w:rsid w:val="008C14E0"/>
    <w:rsid w:val="008C54C0"/>
    <w:rsid w:val="008C5679"/>
    <w:rsid w:val="008C56FC"/>
    <w:rsid w:val="008C58E7"/>
    <w:rsid w:val="008C6561"/>
    <w:rsid w:val="008C7EAE"/>
    <w:rsid w:val="008D0887"/>
    <w:rsid w:val="008D0CDC"/>
    <w:rsid w:val="008D3529"/>
    <w:rsid w:val="008D589E"/>
    <w:rsid w:val="008D5C50"/>
    <w:rsid w:val="008D715F"/>
    <w:rsid w:val="008D7B03"/>
    <w:rsid w:val="008E15E5"/>
    <w:rsid w:val="008E39AC"/>
    <w:rsid w:val="008E3A0C"/>
    <w:rsid w:val="008E4A72"/>
    <w:rsid w:val="008E6373"/>
    <w:rsid w:val="008E66C6"/>
    <w:rsid w:val="008E6E57"/>
    <w:rsid w:val="008E7BAF"/>
    <w:rsid w:val="008F1305"/>
    <w:rsid w:val="008F1C64"/>
    <w:rsid w:val="008F2576"/>
    <w:rsid w:val="008F499C"/>
    <w:rsid w:val="008F6192"/>
    <w:rsid w:val="009002D7"/>
    <w:rsid w:val="0090140A"/>
    <w:rsid w:val="0090158C"/>
    <w:rsid w:val="00901C44"/>
    <w:rsid w:val="00901C66"/>
    <w:rsid w:val="00903E7E"/>
    <w:rsid w:val="0090401D"/>
    <w:rsid w:val="009070C2"/>
    <w:rsid w:val="00907175"/>
    <w:rsid w:val="00907C4C"/>
    <w:rsid w:val="0091058C"/>
    <w:rsid w:val="00910BFC"/>
    <w:rsid w:val="00910FB0"/>
    <w:rsid w:val="0091135A"/>
    <w:rsid w:val="00911FBF"/>
    <w:rsid w:val="0091323C"/>
    <w:rsid w:val="009144F5"/>
    <w:rsid w:val="00914E07"/>
    <w:rsid w:val="00915EED"/>
    <w:rsid w:val="00921424"/>
    <w:rsid w:val="00921BFF"/>
    <w:rsid w:val="00922D95"/>
    <w:rsid w:val="00923356"/>
    <w:rsid w:val="00923BA7"/>
    <w:rsid w:val="00923F73"/>
    <w:rsid w:val="009240EF"/>
    <w:rsid w:val="00924299"/>
    <w:rsid w:val="00924CBC"/>
    <w:rsid w:val="009253EA"/>
    <w:rsid w:val="009262F2"/>
    <w:rsid w:val="009273C6"/>
    <w:rsid w:val="0093007D"/>
    <w:rsid w:val="00930EE6"/>
    <w:rsid w:val="00932108"/>
    <w:rsid w:val="00932646"/>
    <w:rsid w:val="00933260"/>
    <w:rsid w:val="00933879"/>
    <w:rsid w:val="00933FED"/>
    <w:rsid w:val="00935A05"/>
    <w:rsid w:val="00936712"/>
    <w:rsid w:val="00937CEF"/>
    <w:rsid w:val="0094095C"/>
    <w:rsid w:val="00941AA7"/>
    <w:rsid w:val="00941D5F"/>
    <w:rsid w:val="00943BEA"/>
    <w:rsid w:val="009448BA"/>
    <w:rsid w:val="009461FF"/>
    <w:rsid w:val="00947781"/>
    <w:rsid w:val="00947B67"/>
    <w:rsid w:val="00952285"/>
    <w:rsid w:val="009527AC"/>
    <w:rsid w:val="00952B95"/>
    <w:rsid w:val="00952E84"/>
    <w:rsid w:val="0095392C"/>
    <w:rsid w:val="00953FE2"/>
    <w:rsid w:val="00954415"/>
    <w:rsid w:val="00954BB2"/>
    <w:rsid w:val="00955C5B"/>
    <w:rsid w:val="00956C95"/>
    <w:rsid w:val="009574FF"/>
    <w:rsid w:val="0095755E"/>
    <w:rsid w:val="00957EF6"/>
    <w:rsid w:val="009612BF"/>
    <w:rsid w:val="0096228E"/>
    <w:rsid w:val="009652DA"/>
    <w:rsid w:val="00965766"/>
    <w:rsid w:val="00970B04"/>
    <w:rsid w:val="00970D6B"/>
    <w:rsid w:val="00973CE3"/>
    <w:rsid w:val="00974573"/>
    <w:rsid w:val="00974C9C"/>
    <w:rsid w:val="00974E0C"/>
    <w:rsid w:val="00975ED5"/>
    <w:rsid w:val="00976246"/>
    <w:rsid w:val="00977A2B"/>
    <w:rsid w:val="009804F1"/>
    <w:rsid w:val="009807D8"/>
    <w:rsid w:val="0098111C"/>
    <w:rsid w:val="00984388"/>
    <w:rsid w:val="00984518"/>
    <w:rsid w:val="00984E5B"/>
    <w:rsid w:val="009859DC"/>
    <w:rsid w:val="0098677B"/>
    <w:rsid w:val="00987769"/>
    <w:rsid w:val="00990448"/>
    <w:rsid w:val="00990EB7"/>
    <w:rsid w:val="009913FA"/>
    <w:rsid w:val="009923AF"/>
    <w:rsid w:val="00992A79"/>
    <w:rsid w:val="00993424"/>
    <w:rsid w:val="00994288"/>
    <w:rsid w:val="00995263"/>
    <w:rsid w:val="00997633"/>
    <w:rsid w:val="009978AD"/>
    <w:rsid w:val="009A0538"/>
    <w:rsid w:val="009A152C"/>
    <w:rsid w:val="009A1B32"/>
    <w:rsid w:val="009A24D5"/>
    <w:rsid w:val="009A3ACA"/>
    <w:rsid w:val="009A3B63"/>
    <w:rsid w:val="009A5379"/>
    <w:rsid w:val="009A7DAC"/>
    <w:rsid w:val="009B0E15"/>
    <w:rsid w:val="009B16B7"/>
    <w:rsid w:val="009B1884"/>
    <w:rsid w:val="009B1E4D"/>
    <w:rsid w:val="009B3627"/>
    <w:rsid w:val="009B3F61"/>
    <w:rsid w:val="009B4685"/>
    <w:rsid w:val="009B5097"/>
    <w:rsid w:val="009B540F"/>
    <w:rsid w:val="009B58D7"/>
    <w:rsid w:val="009B60D1"/>
    <w:rsid w:val="009C134F"/>
    <w:rsid w:val="009C3FB2"/>
    <w:rsid w:val="009C585D"/>
    <w:rsid w:val="009C5D05"/>
    <w:rsid w:val="009D111C"/>
    <w:rsid w:val="009D12F1"/>
    <w:rsid w:val="009D1418"/>
    <w:rsid w:val="009D355F"/>
    <w:rsid w:val="009D4C76"/>
    <w:rsid w:val="009D625E"/>
    <w:rsid w:val="009D670A"/>
    <w:rsid w:val="009D6E46"/>
    <w:rsid w:val="009D717E"/>
    <w:rsid w:val="009D71A5"/>
    <w:rsid w:val="009D7A57"/>
    <w:rsid w:val="009E271F"/>
    <w:rsid w:val="009E4C43"/>
    <w:rsid w:val="009E533E"/>
    <w:rsid w:val="009F3090"/>
    <w:rsid w:val="009F4787"/>
    <w:rsid w:val="009F5B7B"/>
    <w:rsid w:val="009F6B48"/>
    <w:rsid w:val="009F6C9B"/>
    <w:rsid w:val="009F6E9B"/>
    <w:rsid w:val="00A000A5"/>
    <w:rsid w:val="00A0114A"/>
    <w:rsid w:val="00A01F1F"/>
    <w:rsid w:val="00A02E21"/>
    <w:rsid w:val="00A03526"/>
    <w:rsid w:val="00A035CE"/>
    <w:rsid w:val="00A038DF"/>
    <w:rsid w:val="00A10E8D"/>
    <w:rsid w:val="00A1187A"/>
    <w:rsid w:val="00A11F9A"/>
    <w:rsid w:val="00A1267C"/>
    <w:rsid w:val="00A13BD9"/>
    <w:rsid w:val="00A142DB"/>
    <w:rsid w:val="00A151C6"/>
    <w:rsid w:val="00A16AD7"/>
    <w:rsid w:val="00A173CA"/>
    <w:rsid w:val="00A1790B"/>
    <w:rsid w:val="00A17F27"/>
    <w:rsid w:val="00A230BD"/>
    <w:rsid w:val="00A25EC5"/>
    <w:rsid w:val="00A260F9"/>
    <w:rsid w:val="00A26357"/>
    <w:rsid w:val="00A26C60"/>
    <w:rsid w:val="00A27451"/>
    <w:rsid w:val="00A27FBB"/>
    <w:rsid w:val="00A31B6F"/>
    <w:rsid w:val="00A32972"/>
    <w:rsid w:val="00A359CD"/>
    <w:rsid w:val="00A35A0E"/>
    <w:rsid w:val="00A362A0"/>
    <w:rsid w:val="00A367CC"/>
    <w:rsid w:val="00A36CAA"/>
    <w:rsid w:val="00A415EB"/>
    <w:rsid w:val="00A423BD"/>
    <w:rsid w:val="00A4240B"/>
    <w:rsid w:val="00A44CDA"/>
    <w:rsid w:val="00A454A8"/>
    <w:rsid w:val="00A45511"/>
    <w:rsid w:val="00A4699B"/>
    <w:rsid w:val="00A46D6F"/>
    <w:rsid w:val="00A476EA"/>
    <w:rsid w:val="00A50B7E"/>
    <w:rsid w:val="00A511A0"/>
    <w:rsid w:val="00A5142E"/>
    <w:rsid w:val="00A51C7B"/>
    <w:rsid w:val="00A51E06"/>
    <w:rsid w:val="00A52E6A"/>
    <w:rsid w:val="00A60A38"/>
    <w:rsid w:val="00A60C04"/>
    <w:rsid w:val="00A6319F"/>
    <w:rsid w:val="00A639CE"/>
    <w:rsid w:val="00A63B7F"/>
    <w:rsid w:val="00A64114"/>
    <w:rsid w:val="00A6432E"/>
    <w:rsid w:val="00A65478"/>
    <w:rsid w:val="00A66928"/>
    <w:rsid w:val="00A704EF"/>
    <w:rsid w:val="00A7159D"/>
    <w:rsid w:val="00A71B1C"/>
    <w:rsid w:val="00A727DD"/>
    <w:rsid w:val="00A72D6C"/>
    <w:rsid w:val="00A76E09"/>
    <w:rsid w:val="00A77314"/>
    <w:rsid w:val="00A777B7"/>
    <w:rsid w:val="00A8073C"/>
    <w:rsid w:val="00A81CC6"/>
    <w:rsid w:val="00A82026"/>
    <w:rsid w:val="00A82216"/>
    <w:rsid w:val="00A82914"/>
    <w:rsid w:val="00A82CD6"/>
    <w:rsid w:val="00A83BA3"/>
    <w:rsid w:val="00A84511"/>
    <w:rsid w:val="00A851D7"/>
    <w:rsid w:val="00A85F79"/>
    <w:rsid w:val="00A932FD"/>
    <w:rsid w:val="00A93C3E"/>
    <w:rsid w:val="00A9436E"/>
    <w:rsid w:val="00A950B7"/>
    <w:rsid w:val="00A95B11"/>
    <w:rsid w:val="00A96BB9"/>
    <w:rsid w:val="00A97A52"/>
    <w:rsid w:val="00A97DDB"/>
    <w:rsid w:val="00AA10AF"/>
    <w:rsid w:val="00AA1BA1"/>
    <w:rsid w:val="00AA247A"/>
    <w:rsid w:val="00AA2B5A"/>
    <w:rsid w:val="00AA2CDF"/>
    <w:rsid w:val="00AA2E3B"/>
    <w:rsid w:val="00AA2EDC"/>
    <w:rsid w:val="00AA37B2"/>
    <w:rsid w:val="00AA3B5E"/>
    <w:rsid w:val="00AA55EC"/>
    <w:rsid w:val="00AA5667"/>
    <w:rsid w:val="00AB0DC0"/>
    <w:rsid w:val="00AB1EA7"/>
    <w:rsid w:val="00AB286C"/>
    <w:rsid w:val="00AB426A"/>
    <w:rsid w:val="00AB6DBB"/>
    <w:rsid w:val="00AC0315"/>
    <w:rsid w:val="00AC1E86"/>
    <w:rsid w:val="00AC270E"/>
    <w:rsid w:val="00AC30BC"/>
    <w:rsid w:val="00AC38A1"/>
    <w:rsid w:val="00AC5325"/>
    <w:rsid w:val="00AC6BBE"/>
    <w:rsid w:val="00AD1F38"/>
    <w:rsid w:val="00AD3A90"/>
    <w:rsid w:val="00AD4C6C"/>
    <w:rsid w:val="00AD5367"/>
    <w:rsid w:val="00AD55E1"/>
    <w:rsid w:val="00AD6970"/>
    <w:rsid w:val="00AE05DC"/>
    <w:rsid w:val="00AE0875"/>
    <w:rsid w:val="00AE0E5D"/>
    <w:rsid w:val="00AE0EF7"/>
    <w:rsid w:val="00AE1F2D"/>
    <w:rsid w:val="00AE3E36"/>
    <w:rsid w:val="00AE44F1"/>
    <w:rsid w:val="00AE45ED"/>
    <w:rsid w:val="00AE4957"/>
    <w:rsid w:val="00AE4A83"/>
    <w:rsid w:val="00AE4EE4"/>
    <w:rsid w:val="00AE5574"/>
    <w:rsid w:val="00AE57A4"/>
    <w:rsid w:val="00AE5B7E"/>
    <w:rsid w:val="00AE6CC9"/>
    <w:rsid w:val="00AE7D96"/>
    <w:rsid w:val="00AF0213"/>
    <w:rsid w:val="00AF0FD4"/>
    <w:rsid w:val="00AF30A1"/>
    <w:rsid w:val="00AF312E"/>
    <w:rsid w:val="00AF61D6"/>
    <w:rsid w:val="00AF65D8"/>
    <w:rsid w:val="00AF66F5"/>
    <w:rsid w:val="00AF7206"/>
    <w:rsid w:val="00AF7518"/>
    <w:rsid w:val="00AF7EF7"/>
    <w:rsid w:val="00B00DAF"/>
    <w:rsid w:val="00B0300F"/>
    <w:rsid w:val="00B04410"/>
    <w:rsid w:val="00B05550"/>
    <w:rsid w:val="00B05CDE"/>
    <w:rsid w:val="00B06C8A"/>
    <w:rsid w:val="00B06E3C"/>
    <w:rsid w:val="00B0784A"/>
    <w:rsid w:val="00B079C8"/>
    <w:rsid w:val="00B10021"/>
    <w:rsid w:val="00B1042A"/>
    <w:rsid w:val="00B1070F"/>
    <w:rsid w:val="00B12092"/>
    <w:rsid w:val="00B12968"/>
    <w:rsid w:val="00B1306C"/>
    <w:rsid w:val="00B131EB"/>
    <w:rsid w:val="00B13F06"/>
    <w:rsid w:val="00B14157"/>
    <w:rsid w:val="00B153A7"/>
    <w:rsid w:val="00B16427"/>
    <w:rsid w:val="00B166FD"/>
    <w:rsid w:val="00B16A5A"/>
    <w:rsid w:val="00B16BBD"/>
    <w:rsid w:val="00B16BFA"/>
    <w:rsid w:val="00B175F2"/>
    <w:rsid w:val="00B202E2"/>
    <w:rsid w:val="00B21173"/>
    <w:rsid w:val="00B21F7A"/>
    <w:rsid w:val="00B230CE"/>
    <w:rsid w:val="00B2431E"/>
    <w:rsid w:val="00B24610"/>
    <w:rsid w:val="00B2471B"/>
    <w:rsid w:val="00B24EEA"/>
    <w:rsid w:val="00B271E3"/>
    <w:rsid w:val="00B27676"/>
    <w:rsid w:val="00B279CB"/>
    <w:rsid w:val="00B3147D"/>
    <w:rsid w:val="00B33089"/>
    <w:rsid w:val="00B3392C"/>
    <w:rsid w:val="00B33A6C"/>
    <w:rsid w:val="00B341FA"/>
    <w:rsid w:val="00B345D1"/>
    <w:rsid w:val="00B368D9"/>
    <w:rsid w:val="00B36B13"/>
    <w:rsid w:val="00B4019C"/>
    <w:rsid w:val="00B40355"/>
    <w:rsid w:val="00B40774"/>
    <w:rsid w:val="00B413B2"/>
    <w:rsid w:val="00B43172"/>
    <w:rsid w:val="00B4364D"/>
    <w:rsid w:val="00B4478E"/>
    <w:rsid w:val="00B45BC1"/>
    <w:rsid w:val="00B45FEC"/>
    <w:rsid w:val="00B4730A"/>
    <w:rsid w:val="00B50CC2"/>
    <w:rsid w:val="00B50F11"/>
    <w:rsid w:val="00B5203F"/>
    <w:rsid w:val="00B52F86"/>
    <w:rsid w:val="00B538B2"/>
    <w:rsid w:val="00B53923"/>
    <w:rsid w:val="00B54451"/>
    <w:rsid w:val="00B545F5"/>
    <w:rsid w:val="00B547D9"/>
    <w:rsid w:val="00B55495"/>
    <w:rsid w:val="00B57F6A"/>
    <w:rsid w:val="00B60288"/>
    <w:rsid w:val="00B61A01"/>
    <w:rsid w:val="00B6235E"/>
    <w:rsid w:val="00B63378"/>
    <w:rsid w:val="00B63502"/>
    <w:rsid w:val="00B63E85"/>
    <w:rsid w:val="00B709EA"/>
    <w:rsid w:val="00B7173F"/>
    <w:rsid w:val="00B73E11"/>
    <w:rsid w:val="00B74AFE"/>
    <w:rsid w:val="00B74CF6"/>
    <w:rsid w:val="00B74D05"/>
    <w:rsid w:val="00B75462"/>
    <w:rsid w:val="00B76516"/>
    <w:rsid w:val="00B76E05"/>
    <w:rsid w:val="00B809AF"/>
    <w:rsid w:val="00B80D54"/>
    <w:rsid w:val="00B81ECB"/>
    <w:rsid w:val="00B835B0"/>
    <w:rsid w:val="00B83E11"/>
    <w:rsid w:val="00B8410D"/>
    <w:rsid w:val="00B85716"/>
    <w:rsid w:val="00B91143"/>
    <w:rsid w:val="00B91610"/>
    <w:rsid w:val="00B93EE4"/>
    <w:rsid w:val="00B94944"/>
    <w:rsid w:val="00B94A17"/>
    <w:rsid w:val="00B9547A"/>
    <w:rsid w:val="00B95F6D"/>
    <w:rsid w:val="00BA1611"/>
    <w:rsid w:val="00BA1F03"/>
    <w:rsid w:val="00BA2172"/>
    <w:rsid w:val="00BA3184"/>
    <w:rsid w:val="00BA3419"/>
    <w:rsid w:val="00BA377C"/>
    <w:rsid w:val="00BA4032"/>
    <w:rsid w:val="00BA4731"/>
    <w:rsid w:val="00BA7D15"/>
    <w:rsid w:val="00BB220D"/>
    <w:rsid w:val="00BB6402"/>
    <w:rsid w:val="00BB6C6E"/>
    <w:rsid w:val="00BC2A3D"/>
    <w:rsid w:val="00BC4DD1"/>
    <w:rsid w:val="00BC578E"/>
    <w:rsid w:val="00BC58D5"/>
    <w:rsid w:val="00BC5BDE"/>
    <w:rsid w:val="00BC7DCF"/>
    <w:rsid w:val="00BD09C3"/>
    <w:rsid w:val="00BD168E"/>
    <w:rsid w:val="00BD336F"/>
    <w:rsid w:val="00BD3BDF"/>
    <w:rsid w:val="00BD5033"/>
    <w:rsid w:val="00BD5F82"/>
    <w:rsid w:val="00BD60B3"/>
    <w:rsid w:val="00BD637E"/>
    <w:rsid w:val="00BD7025"/>
    <w:rsid w:val="00BD76C0"/>
    <w:rsid w:val="00BE1F38"/>
    <w:rsid w:val="00BE2F45"/>
    <w:rsid w:val="00BE4F41"/>
    <w:rsid w:val="00BE51F9"/>
    <w:rsid w:val="00BE528B"/>
    <w:rsid w:val="00BE676F"/>
    <w:rsid w:val="00BE7437"/>
    <w:rsid w:val="00BE743C"/>
    <w:rsid w:val="00BE7765"/>
    <w:rsid w:val="00BF1574"/>
    <w:rsid w:val="00BF37B3"/>
    <w:rsid w:val="00BF3962"/>
    <w:rsid w:val="00BF42E0"/>
    <w:rsid w:val="00BF52BF"/>
    <w:rsid w:val="00BF5A63"/>
    <w:rsid w:val="00BF5A86"/>
    <w:rsid w:val="00BF5F85"/>
    <w:rsid w:val="00BF66C7"/>
    <w:rsid w:val="00C00077"/>
    <w:rsid w:val="00C00425"/>
    <w:rsid w:val="00C014B2"/>
    <w:rsid w:val="00C02567"/>
    <w:rsid w:val="00C03F95"/>
    <w:rsid w:val="00C049D6"/>
    <w:rsid w:val="00C057A3"/>
    <w:rsid w:val="00C05E71"/>
    <w:rsid w:val="00C075BC"/>
    <w:rsid w:val="00C0770E"/>
    <w:rsid w:val="00C10419"/>
    <w:rsid w:val="00C1053E"/>
    <w:rsid w:val="00C17139"/>
    <w:rsid w:val="00C17BB1"/>
    <w:rsid w:val="00C20694"/>
    <w:rsid w:val="00C2103D"/>
    <w:rsid w:val="00C23188"/>
    <w:rsid w:val="00C238F7"/>
    <w:rsid w:val="00C23B18"/>
    <w:rsid w:val="00C272E5"/>
    <w:rsid w:val="00C317A8"/>
    <w:rsid w:val="00C320A9"/>
    <w:rsid w:val="00C342D2"/>
    <w:rsid w:val="00C35ADF"/>
    <w:rsid w:val="00C4012D"/>
    <w:rsid w:val="00C4100C"/>
    <w:rsid w:val="00C43C25"/>
    <w:rsid w:val="00C47D44"/>
    <w:rsid w:val="00C5066B"/>
    <w:rsid w:val="00C51227"/>
    <w:rsid w:val="00C51719"/>
    <w:rsid w:val="00C51AFA"/>
    <w:rsid w:val="00C52041"/>
    <w:rsid w:val="00C553F9"/>
    <w:rsid w:val="00C557B0"/>
    <w:rsid w:val="00C61282"/>
    <w:rsid w:val="00C61560"/>
    <w:rsid w:val="00C632CD"/>
    <w:rsid w:val="00C642E0"/>
    <w:rsid w:val="00C66CD6"/>
    <w:rsid w:val="00C67610"/>
    <w:rsid w:val="00C67AEF"/>
    <w:rsid w:val="00C70A87"/>
    <w:rsid w:val="00C71D67"/>
    <w:rsid w:val="00C725A3"/>
    <w:rsid w:val="00C76C80"/>
    <w:rsid w:val="00C827A1"/>
    <w:rsid w:val="00C82EBC"/>
    <w:rsid w:val="00C83297"/>
    <w:rsid w:val="00C83CEF"/>
    <w:rsid w:val="00C84026"/>
    <w:rsid w:val="00C84201"/>
    <w:rsid w:val="00C843A0"/>
    <w:rsid w:val="00C8481A"/>
    <w:rsid w:val="00C85FA9"/>
    <w:rsid w:val="00C864EE"/>
    <w:rsid w:val="00C8675F"/>
    <w:rsid w:val="00C90A89"/>
    <w:rsid w:val="00C916A8"/>
    <w:rsid w:val="00C940BB"/>
    <w:rsid w:val="00C943BA"/>
    <w:rsid w:val="00C9472F"/>
    <w:rsid w:val="00C95821"/>
    <w:rsid w:val="00C95C47"/>
    <w:rsid w:val="00C96BEB"/>
    <w:rsid w:val="00C9786A"/>
    <w:rsid w:val="00C97BC4"/>
    <w:rsid w:val="00C97D60"/>
    <w:rsid w:val="00CA0F62"/>
    <w:rsid w:val="00CA1640"/>
    <w:rsid w:val="00CA1A9A"/>
    <w:rsid w:val="00CA2CBE"/>
    <w:rsid w:val="00CA37FE"/>
    <w:rsid w:val="00CA4E64"/>
    <w:rsid w:val="00CA6678"/>
    <w:rsid w:val="00CA7B28"/>
    <w:rsid w:val="00CB03A4"/>
    <w:rsid w:val="00CB0525"/>
    <w:rsid w:val="00CB0561"/>
    <w:rsid w:val="00CB0AE2"/>
    <w:rsid w:val="00CB0CE9"/>
    <w:rsid w:val="00CB0EC8"/>
    <w:rsid w:val="00CB193F"/>
    <w:rsid w:val="00CB3F90"/>
    <w:rsid w:val="00CB622D"/>
    <w:rsid w:val="00CB6845"/>
    <w:rsid w:val="00CC0E76"/>
    <w:rsid w:val="00CC1B6B"/>
    <w:rsid w:val="00CC2409"/>
    <w:rsid w:val="00CC3CE6"/>
    <w:rsid w:val="00CC3F7F"/>
    <w:rsid w:val="00CC449C"/>
    <w:rsid w:val="00CC536D"/>
    <w:rsid w:val="00CC59E0"/>
    <w:rsid w:val="00CC5ADC"/>
    <w:rsid w:val="00CC7B48"/>
    <w:rsid w:val="00CD14B5"/>
    <w:rsid w:val="00CD1D21"/>
    <w:rsid w:val="00CD3F57"/>
    <w:rsid w:val="00CD46BB"/>
    <w:rsid w:val="00CD493B"/>
    <w:rsid w:val="00CD6599"/>
    <w:rsid w:val="00CD6AEB"/>
    <w:rsid w:val="00CD6B69"/>
    <w:rsid w:val="00CD7904"/>
    <w:rsid w:val="00CD7F89"/>
    <w:rsid w:val="00CE02FF"/>
    <w:rsid w:val="00CE06FE"/>
    <w:rsid w:val="00CE1022"/>
    <w:rsid w:val="00CE2095"/>
    <w:rsid w:val="00CE3B34"/>
    <w:rsid w:val="00CE3E3D"/>
    <w:rsid w:val="00CE4009"/>
    <w:rsid w:val="00CE5060"/>
    <w:rsid w:val="00CE6838"/>
    <w:rsid w:val="00CE7A9D"/>
    <w:rsid w:val="00CE7C49"/>
    <w:rsid w:val="00CF08A8"/>
    <w:rsid w:val="00CF2944"/>
    <w:rsid w:val="00CF2E37"/>
    <w:rsid w:val="00CF5313"/>
    <w:rsid w:val="00CF53FC"/>
    <w:rsid w:val="00CF591B"/>
    <w:rsid w:val="00CF5CE6"/>
    <w:rsid w:val="00CF6AA0"/>
    <w:rsid w:val="00CF6B5D"/>
    <w:rsid w:val="00CF7FF3"/>
    <w:rsid w:val="00D01723"/>
    <w:rsid w:val="00D02520"/>
    <w:rsid w:val="00D03056"/>
    <w:rsid w:val="00D04AA4"/>
    <w:rsid w:val="00D05C18"/>
    <w:rsid w:val="00D06DCE"/>
    <w:rsid w:val="00D11B54"/>
    <w:rsid w:val="00D133BD"/>
    <w:rsid w:val="00D143FF"/>
    <w:rsid w:val="00D14E73"/>
    <w:rsid w:val="00D154EF"/>
    <w:rsid w:val="00D158E2"/>
    <w:rsid w:val="00D169B0"/>
    <w:rsid w:val="00D17186"/>
    <w:rsid w:val="00D17D89"/>
    <w:rsid w:val="00D17F81"/>
    <w:rsid w:val="00D2015E"/>
    <w:rsid w:val="00D237B6"/>
    <w:rsid w:val="00D23BE6"/>
    <w:rsid w:val="00D2417D"/>
    <w:rsid w:val="00D265B8"/>
    <w:rsid w:val="00D300F4"/>
    <w:rsid w:val="00D31B12"/>
    <w:rsid w:val="00D31CAC"/>
    <w:rsid w:val="00D32310"/>
    <w:rsid w:val="00D331D5"/>
    <w:rsid w:val="00D33CDA"/>
    <w:rsid w:val="00D33ED7"/>
    <w:rsid w:val="00D34AB0"/>
    <w:rsid w:val="00D35003"/>
    <w:rsid w:val="00D36443"/>
    <w:rsid w:val="00D36D80"/>
    <w:rsid w:val="00D37F0F"/>
    <w:rsid w:val="00D429C6"/>
    <w:rsid w:val="00D44210"/>
    <w:rsid w:val="00D44237"/>
    <w:rsid w:val="00D456D7"/>
    <w:rsid w:val="00D46936"/>
    <w:rsid w:val="00D4722C"/>
    <w:rsid w:val="00D47F85"/>
    <w:rsid w:val="00D50C1B"/>
    <w:rsid w:val="00D51C79"/>
    <w:rsid w:val="00D5352D"/>
    <w:rsid w:val="00D56B1E"/>
    <w:rsid w:val="00D56B70"/>
    <w:rsid w:val="00D57804"/>
    <w:rsid w:val="00D610DE"/>
    <w:rsid w:val="00D619C9"/>
    <w:rsid w:val="00D6345B"/>
    <w:rsid w:val="00D63DD9"/>
    <w:rsid w:val="00D647AE"/>
    <w:rsid w:val="00D64D30"/>
    <w:rsid w:val="00D64EBD"/>
    <w:rsid w:val="00D64FCA"/>
    <w:rsid w:val="00D656D4"/>
    <w:rsid w:val="00D65C11"/>
    <w:rsid w:val="00D6719A"/>
    <w:rsid w:val="00D6739A"/>
    <w:rsid w:val="00D70009"/>
    <w:rsid w:val="00D720B7"/>
    <w:rsid w:val="00D721AD"/>
    <w:rsid w:val="00D73DB2"/>
    <w:rsid w:val="00D73EF1"/>
    <w:rsid w:val="00D754C9"/>
    <w:rsid w:val="00D756EC"/>
    <w:rsid w:val="00D75B5D"/>
    <w:rsid w:val="00D8184B"/>
    <w:rsid w:val="00D82252"/>
    <w:rsid w:val="00D85CA7"/>
    <w:rsid w:val="00D86C4A"/>
    <w:rsid w:val="00D87A15"/>
    <w:rsid w:val="00D908B2"/>
    <w:rsid w:val="00D90AF2"/>
    <w:rsid w:val="00D92330"/>
    <w:rsid w:val="00D92665"/>
    <w:rsid w:val="00D946E8"/>
    <w:rsid w:val="00D9496C"/>
    <w:rsid w:val="00D977A9"/>
    <w:rsid w:val="00D97C3C"/>
    <w:rsid w:val="00DA296A"/>
    <w:rsid w:val="00DA2F26"/>
    <w:rsid w:val="00DA329D"/>
    <w:rsid w:val="00DA4F5B"/>
    <w:rsid w:val="00DA52ED"/>
    <w:rsid w:val="00DA5301"/>
    <w:rsid w:val="00DA61E4"/>
    <w:rsid w:val="00DA64BF"/>
    <w:rsid w:val="00DA7970"/>
    <w:rsid w:val="00DB4C3A"/>
    <w:rsid w:val="00DB5D93"/>
    <w:rsid w:val="00DB6BD8"/>
    <w:rsid w:val="00DB7FCA"/>
    <w:rsid w:val="00DC0204"/>
    <w:rsid w:val="00DC1BF5"/>
    <w:rsid w:val="00DC3FBC"/>
    <w:rsid w:val="00DC5213"/>
    <w:rsid w:val="00DC595F"/>
    <w:rsid w:val="00DC62EC"/>
    <w:rsid w:val="00DC6C4B"/>
    <w:rsid w:val="00DC7837"/>
    <w:rsid w:val="00DC7B72"/>
    <w:rsid w:val="00DD26AD"/>
    <w:rsid w:val="00DD2DF1"/>
    <w:rsid w:val="00DD59B7"/>
    <w:rsid w:val="00DD5CFB"/>
    <w:rsid w:val="00DD79EB"/>
    <w:rsid w:val="00DE0510"/>
    <w:rsid w:val="00DE0BDE"/>
    <w:rsid w:val="00DE77D8"/>
    <w:rsid w:val="00DF03EF"/>
    <w:rsid w:val="00DF043D"/>
    <w:rsid w:val="00DF0C6D"/>
    <w:rsid w:val="00DF228E"/>
    <w:rsid w:val="00DF2497"/>
    <w:rsid w:val="00DF2771"/>
    <w:rsid w:val="00DF2B8D"/>
    <w:rsid w:val="00DF5F3C"/>
    <w:rsid w:val="00E00464"/>
    <w:rsid w:val="00E00879"/>
    <w:rsid w:val="00E00B14"/>
    <w:rsid w:val="00E011B9"/>
    <w:rsid w:val="00E01747"/>
    <w:rsid w:val="00E024B6"/>
    <w:rsid w:val="00E025CD"/>
    <w:rsid w:val="00E03976"/>
    <w:rsid w:val="00E05549"/>
    <w:rsid w:val="00E058DC"/>
    <w:rsid w:val="00E059A8"/>
    <w:rsid w:val="00E05E7B"/>
    <w:rsid w:val="00E0617C"/>
    <w:rsid w:val="00E077D0"/>
    <w:rsid w:val="00E11E1A"/>
    <w:rsid w:val="00E13742"/>
    <w:rsid w:val="00E15FEE"/>
    <w:rsid w:val="00E165A8"/>
    <w:rsid w:val="00E1707E"/>
    <w:rsid w:val="00E20B79"/>
    <w:rsid w:val="00E2204E"/>
    <w:rsid w:val="00E23A27"/>
    <w:rsid w:val="00E2452E"/>
    <w:rsid w:val="00E25EB6"/>
    <w:rsid w:val="00E262F5"/>
    <w:rsid w:val="00E27773"/>
    <w:rsid w:val="00E328C8"/>
    <w:rsid w:val="00E335EB"/>
    <w:rsid w:val="00E33F3C"/>
    <w:rsid w:val="00E3412C"/>
    <w:rsid w:val="00E34433"/>
    <w:rsid w:val="00E35A5F"/>
    <w:rsid w:val="00E362D7"/>
    <w:rsid w:val="00E3686F"/>
    <w:rsid w:val="00E36877"/>
    <w:rsid w:val="00E404DA"/>
    <w:rsid w:val="00E40765"/>
    <w:rsid w:val="00E42B45"/>
    <w:rsid w:val="00E4577F"/>
    <w:rsid w:val="00E45A33"/>
    <w:rsid w:val="00E461AF"/>
    <w:rsid w:val="00E46391"/>
    <w:rsid w:val="00E47E92"/>
    <w:rsid w:val="00E553A7"/>
    <w:rsid w:val="00E557B4"/>
    <w:rsid w:val="00E60682"/>
    <w:rsid w:val="00E60C32"/>
    <w:rsid w:val="00E60EC9"/>
    <w:rsid w:val="00E6127A"/>
    <w:rsid w:val="00E613C1"/>
    <w:rsid w:val="00E64292"/>
    <w:rsid w:val="00E64F57"/>
    <w:rsid w:val="00E662DA"/>
    <w:rsid w:val="00E67297"/>
    <w:rsid w:val="00E708F6"/>
    <w:rsid w:val="00E70A6D"/>
    <w:rsid w:val="00E70BEA"/>
    <w:rsid w:val="00E71BC8"/>
    <w:rsid w:val="00E73B59"/>
    <w:rsid w:val="00E73F90"/>
    <w:rsid w:val="00E74ADF"/>
    <w:rsid w:val="00E75315"/>
    <w:rsid w:val="00E771CF"/>
    <w:rsid w:val="00E80676"/>
    <w:rsid w:val="00E816F6"/>
    <w:rsid w:val="00E81AC9"/>
    <w:rsid w:val="00E821DE"/>
    <w:rsid w:val="00E82FF3"/>
    <w:rsid w:val="00E84D75"/>
    <w:rsid w:val="00E9008D"/>
    <w:rsid w:val="00E92447"/>
    <w:rsid w:val="00E94000"/>
    <w:rsid w:val="00E948AA"/>
    <w:rsid w:val="00E96B28"/>
    <w:rsid w:val="00E96EB2"/>
    <w:rsid w:val="00E9705F"/>
    <w:rsid w:val="00E97CC7"/>
    <w:rsid w:val="00E97D4D"/>
    <w:rsid w:val="00EA0FE1"/>
    <w:rsid w:val="00EA22AA"/>
    <w:rsid w:val="00EA3E65"/>
    <w:rsid w:val="00EA4175"/>
    <w:rsid w:val="00EA6330"/>
    <w:rsid w:val="00EA7F23"/>
    <w:rsid w:val="00EB0ADB"/>
    <w:rsid w:val="00EB1280"/>
    <w:rsid w:val="00EB2FFB"/>
    <w:rsid w:val="00EB3364"/>
    <w:rsid w:val="00EB3473"/>
    <w:rsid w:val="00EB51BD"/>
    <w:rsid w:val="00EB5D5F"/>
    <w:rsid w:val="00EB6844"/>
    <w:rsid w:val="00EB6F2E"/>
    <w:rsid w:val="00EC01DB"/>
    <w:rsid w:val="00EC2FC6"/>
    <w:rsid w:val="00EC3753"/>
    <w:rsid w:val="00EC49CE"/>
    <w:rsid w:val="00EC4C48"/>
    <w:rsid w:val="00ED01DA"/>
    <w:rsid w:val="00ED035A"/>
    <w:rsid w:val="00ED05FE"/>
    <w:rsid w:val="00ED1816"/>
    <w:rsid w:val="00ED1A6F"/>
    <w:rsid w:val="00ED406C"/>
    <w:rsid w:val="00ED40F4"/>
    <w:rsid w:val="00ED59BB"/>
    <w:rsid w:val="00ED6970"/>
    <w:rsid w:val="00ED71D8"/>
    <w:rsid w:val="00ED753F"/>
    <w:rsid w:val="00EE06DE"/>
    <w:rsid w:val="00EE126C"/>
    <w:rsid w:val="00EE1F5C"/>
    <w:rsid w:val="00EE2B69"/>
    <w:rsid w:val="00EE2E1C"/>
    <w:rsid w:val="00EE3FB2"/>
    <w:rsid w:val="00EE7ED3"/>
    <w:rsid w:val="00EE7ED4"/>
    <w:rsid w:val="00EF008F"/>
    <w:rsid w:val="00EF29E9"/>
    <w:rsid w:val="00EF39FE"/>
    <w:rsid w:val="00EF4990"/>
    <w:rsid w:val="00EF5748"/>
    <w:rsid w:val="00EF67B4"/>
    <w:rsid w:val="00F00259"/>
    <w:rsid w:val="00F00B10"/>
    <w:rsid w:val="00F01254"/>
    <w:rsid w:val="00F0172D"/>
    <w:rsid w:val="00F01DAA"/>
    <w:rsid w:val="00F02E9F"/>
    <w:rsid w:val="00F03DFD"/>
    <w:rsid w:val="00F0614A"/>
    <w:rsid w:val="00F10DF6"/>
    <w:rsid w:val="00F13211"/>
    <w:rsid w:val="00F133CC"/>
    <w:rsid w:val="00F13CFD"/>
    <w:rsid w:val="00F14FD4"/>
    <w:rsid w:val="00F152AC"/>
    <w:rsid w:val="00F162F5"/>
    <w:rsid w:val="00F20CE0"/>
    <w:rsid w:val="00F226A0"/>
    <w:rsid w:val="00F228E2"/>
    <w:rsid w:val="00F22FCE"/>
    <w:rsid w:val="00F247EC"/>
    <w:rsid w:val="00F250E1"/>
    <w:rsid w:val="00F2604A"/>
    <w:rsid w:val="00F270D9"/>
    <w:rsid w:val="00F3261A"/>
    <w:rsid w:val="00F3397A"/>
    <w:rsid w:val="00F33D64"/>
    <w:rsid w:val="00F35852"/>
    <w:rsid w:val="00F377C2"/>
    <w:rsid w:val="00F37F7A"/>
    <w:rsid w:val="00F4190D"/>
    <w:rsid w:val="00F428DE"/>
    <w:rsid w:val="00F42CAF"/>
    <w:rsid w:val="00F4387B"/>
    <w:rsid w:val="00F44A84"/>
    <w:rsid w:val="00F46793"/>
    <w:rsid w:val="00F46CA0"/>
    <w:rsid w:val="00F5086E"/>
    <w:rsid w:val="00F53558"/>
    <w:rsid w:val="00F569A5"/>
    <w:rsid w:val="00F569E7"/>
    <w:rsid w:val="00F62D20"/>
    <w:rsid w:val="00F637DA"/>
    <w:rsid w:val="00F63FB2"/>
    <w:rsid w:val="00F6446D"/>
    <w:rsid w:val="00F645E1"/>
    <w:rsid w:val="00F65B7E"/>
    <w:rsid w:val="00F70A5E"/>
    <w:rsid w:val="00F711C7"/>
    <w:rsid w:val="00F71A52"/>
    <w:rsid w:val="00F72045"/>
    <w:rsid w:val="00F7280C"/>
    <w:rsid w:val="00F732E0"/>
    <w:rsid w:val="00F73426"/>
    <w:rsid w:val="00F734CC"/>
    <w:rsid w:val="00F73DAE"/>
    <w:rsid w:val="00F77532"/>
    <w:rsid w:val="00F77CC8"/>
    <w:rsid w:val="00F77F1F"/>
    <w:rsid w:val="00F807B8"/>
    <w:rsid w:val="00F80D35"/>
    <w:rsid w:val="00F8203D"/>
    <w:rsid w:val="00F84886"/>
    <w:rsid w:val="00F855F3"/>
    <w:rsid w:val="00F86AAC"/>
    <w:rsid w:val="00F87D54"/>
    <w:rsid w:val="00F9031F"/>
    <w:rsid w:val="00F9051B"/>
    <w:rsid w:val="00F9151C"/>
    <w:rsid w:val="00F91DA6"/>
    <w:rsid w:val="00F92528"/>
    <w:rsid w:val="00F93262"/>
    <w:rsid w:val="00F93BAA"/>
    <w:rsid w:val="00F94356"/>
    <w:rsid w:val="00F95A1D"/>
    <w:rsid w:val="00F978A3"/>
    <w:rsid w:val="00FA087B"/>
    <w:rsid w:val="00FA0925"/>
    <w:rsid w:val="00FA13C4"/>
    <w:rsid w:val="00FA2EB2"/>
    <w:rsid w:val="00FA3F27"/>
    <w:rsid w:val="00FA4196"/>
    <w:rsid w:val="00FA5020"/>
    <w:rsid w:val="00FA6B5A"/>
    <w:rsid w:val="00FA6D67"/>
    <w:rsid w:val="00FB0329"/>
    <w:rsid w:val="00FB381A"/>
    <w:rsid w:val="00FB4A31"/>
    <w:rsid w:val="00FB5E24"/>
    <w:rsid w:val="00FB606F"/>
    <w:rsid w:val="00FC1066"/>
    <w:rsid w:val="00FC23F6"/>
    <w:rsid w:val="00FC358F"/>
    <w:rsid w:val="00FC4B1C"/>
    <w:rsid w:val="00FC4C92"/>
    <w:rsid w:val="00FC4F47"/>
    <w:rsid w:val="00FC5E97"/>
    <w:rsid w:val="00FC6B61"/>
    <w:rsid w:val="00FC6DF4"/>
    <w:rsid w:val="00FD03D3"/>
    <w:rsid w:val="00FD0568"/>
    <w:rsid w:val="00FD11CC"/>
    <w:rsid w:val="00FD3271"/>
    <w:rsid w:val="00FD5C9F"/>
    <w:rsid w:val="00FD6516"/>
    <w:rsid w:val="00FD6A1C"/>
    <w:rsid w:val="00FE0428"/>
    <w:rsid w:val="00FE162C"/>
    <w:rsid w:val="00FE2554"/>
    <w:rsid w:val="00FE36A0"/>
    <w:rsid w:val="00FE3809"/>
    <w:rsid w:val="00FE4DCB"/>
    <w:rsid w:val="00FE560B"/>
    <w:rsid w:val="00FE6F1C"/>
    <w:rsid w:val="00FE7D8A"/>
    <w:rsid w:val="00FF1B4A"/>
    <w:rsid w:val="00FF2870"/>
    <w:rsid w:val="00FF3A8F"/>
    <w:rsid w:val="00FF43B3"/>
    <w:rsid w:val="00FF43FB"/>
    <w:rsid w:val="00FF4B1F"/>
    <w:rsid w:val="00FF4D5C"/>
    <w:rsid w:val="00FF50E7"/>
    <w:rsid w:val="00FF5FD9"/>
    <w:rsid w:val="00FF64FA"/>
    <w:rsid w:val="017930F7"/>
    <w:rsid w:val="0185278D"/>
    <w:rsid w:val="02026AF9"/>
    <w:rsid w:val="020C396B"/>
    <w:rsid w:val="024A1251"/>
    <w:rsid w:val="02913BC4"/>
    <w:rsid w:val="02975487"/>
    <w:rsid w:val="02C36CCC"/>
    <w:rsid w:val="02CC4CA2"/>
    <w:rsid w:val="02E87E56"/>
    <w:rsid w:val="031E3390"/>
    <w:rsid w:val="03864EFF"/>
    <w:rsid w:val="03C90292"/>
    <w:rsid w:val="03DF70E9"/>
    <w:rsid w:val="03E04B6A"/>
    <w:rsid w:val="04485A00"/>
    <w:rsid w:val="04D61700"/>
    <w:rsid w:val="0536769A"/>
    <w:rsid w:val="05B6424F"/>
    <w:rsid w:val="05C5286D"/>
    <w:rsid w:val="05CB3EF7"/>
    <w:rsid w:val="062C3EE5"/>
    <w:rsid w:val="06BD1E8C"/>
    <w:rsid w:val="06D967DC"/>
    <w:rsid w:val="074E232F"/>
    <w:rsid w:val="07B95C9F"/>
    <w:rsid w:val="07CB1772"/>
    <w:rsid w:val="082927A5"/>
    <w:rsid w:val="084E56AE"/>
    <w:rsid w:val="085B56BC"/>
    <w:rsid w:val="08622C32"/>
    <w:rsid w:val="08881F2D"/>
    <w:rsid w:val="08E6766C"/>
    <w:rsid w:val="09215687"/>
    <w:rsid w:val="093D06BA"/>
    <w:rsid w:val="09973AFD"/>
    <w:rsid w:val="0AB3259A"/>
    <w:rsid w:val="0AF72DEC"/>
    <w:rsid w:val="0B55528D"/>
    <w:rsid w:val="0B6920C9"/>
    <w:rsid w:val="0BCC6C96"/>
    <w:rsid w:val="0C246F78"/>
    <w:rsid w:val="0C6E60F3"/>
    <w:rsid w:val="0C770394"/>
    <w:rsid w:val="0C9F68C2"/>
    <w:rsid w:val="0CBC32C9"/>
    <w:rsid w:val="0CEB0C91"/>
    <w:rsid w:val="0CFB6FDC"/>
    <w:rsid w:val="0D5E0578"/>
    <w:rsid w:val="0DA31497"/>
    <w:rsid w:val="0DBD1075"/>
    <w:rsid w:val="0DC21B5F"/>
    <w:rsid w:val="0DC84137"/>
    <w:rsid w:val="0DF33103"/>
    <w:rsid w:val="0DFA4E61"/>
    <w:rsid w:val="0DFB69E7"/>
    <w:rsid w:val="0E347FDD"/>
    <w:rsid w:val="0E3521DC"/>
    <w:rsid w:val="0E6352A9"/>
    <w:rsid w:val="0E6359D8"/>
    <w:rsid w:val="0E673CAF"/>
    <w:rsid w:val="0E8841E4"/>
    <w:rsid w:val="0E971846"/>
    <w:rsid w:val="0F102F5D"/>
    <w:rsid w:val="0F8013E7"/>
    <w:rsid w:val="0FBA2C34"/>
    <w:rsid w:val="0FC07764"/>
    <w:rsid w:val="0FF90BC3"/>
    <w:rsid w:val="10215E18"/>
    <w:rsid w:val="10A357D8"/>
    <w:rsid w:val="10CA5F2C"/>
    <w:rsid w:val="11087CA2"/>
    <w:rsid w:val="11885FC0"/>
    <w:rsid w:val="11FF5A95"/>
    <w:rsid w:val="1208170A"/>
    <w:rsid w:val="121E3673"/>
    <w:rsid w:val="12317DF4"/>
    <w:rsid w:val="12387600"/>
    <w:rsid w:val="124D3453"/>
    <w:rsid w:val="1266614F"/>
    <w:rsid w:val="127C740A"/>
    <w:rsid w:val="12AC0307"/>
    <w:rsid w:val="12AE3DA7"/>
    <w:rsid w:val="138241D2"/>
    <w:rsid w:val="13BC4AF1"/>
    <w:rsid w:val="14DE1DC1"/>
    <w:rsid w:val="15054227"/>
    <w:rsid w:val="151C56AB"/>
    <w:rsid w:val="160022BF"/>
    <w:rsid w:val="16134C45"/>
    <w:rsid w:val="16884C04"/>
    <w:rsid w:val="1690667B"/>
    <w:rsid w:val="16AB7B62"/>
    <w:rsid w:val="16C46FE7"/>
    <w:rsid w:val="16C71857"/>
    <w:rsid w:val="16D23E98"/>
    <w:rsid w:val="16E66F18"/>
    <w:rsid w:val="17721634"/>
    <w:rsid w:val="17A47340"/>
    <w:rsid w:val="17C17E03"/>
    <w:rsid w:val="17C3498C"/>
    <w:rsid w:val="18085E4C"/>
    <w:rsid w:val="180C16AD"/>
    <w:rsid w:val="18BB70E0"/>
    <w:rsid w:val="19364254"/>
    <w:rsid w:val="193E1C7A"/>
    <w:rsid w:val="19512025"/>
    <w:rsid w:val="196D20F2"/>
    <w:rsid w:val="1993497F"/>
    <w:rsid w:val="199C538A"/>
    <w:rsid w:val="1A6A15B4"/>
    <w:rsid w:val="1AD641F4"/>
    <w:rsid w:val="1B7F361F"/>
    <w:rsid w:val="1BCB3090"/>
    <w:rsid w:val="1BF92425"/>
    <w:rsid w:val="1C3944EB"/>
    <w:rsid w:val="1CAA6093"/>
    <w:rsid w:val="1DB21FFB"/>
    <w:rsid w:val="1E2E155A"/>
    <w:rsid w:val="1E445BB0"/>
    <w:rsid w:val="1E620C67"/>
    <w:rsid w:val="1E7F4C12"/>
    <w:rsid w:val="1E8707A4"/>
    <w:rsid w:val="1F2373D6"/>
    <w:rsid w:val="1F5008F0"/>
    <w:rsid w:val="1F7A007B"/>
    <w:rsid w:val="1F927440"/>
    <w:rsid w:val="1F9E26A9"/>
    <w:rsid w:val="1FE874C0"/>
    <w:rsid w:val="1FEF4A96"/>
    <w:rsid w:val="2000198D"/>
    <w:rsid w:val="20050088"/>
    <w:rsid w:val="205108DF"/>
    <w:rsid w:val="205E77A8"/>
    <w:rsid w:val="20775E44"/>
    <w:rsid w:val="207845F4"/>
    <w:rsid w:val="20C11A4B"/>
    <w:rsid w:val="20EB2DD6"/>
    <w:rsid w:val="20EB5CF5"/>
    <w:rsid w:val="20EE7676"/>
    <w:rsid w:val="212208DA"/>
    <w:rsid w:val="218D0B1B"/>
    <w:rsid w:val="21A1493D"/>
    <w:rsid w:val="21B84562"/>
    <w:rsid w:val="21C4457A"/>
    <w:rsid w:val="21CD0C84"/>
    <w:rsid w:val="21E253A6"/>
    <w:rsid w:val="22172D48"/>
    <w:rsid w:val="227D55A4"/>
    <w:rsid w:val="229E62F1"/>
    <w:rsid w:val="22C52FDD"/>
    <w:rsid w:val="230840AA"/>
    <w:rsid w:val="23241235"/>
    <w:rsid w:val="236625F9"/>
    <w:rsid w:val="23C93F42"/>
    <w:rsid w:val="23CB5B11"/>
    <w:rsid w:val="23E80E96"/>
    <w:rsid w:val="23F6158E"/>
    <w:rsid w:val="23FC3497"/>
    <w:rsid w:val="24046C0A"/>
    <w:rsid w:val="240A6D5D"/>
    <w:rsid w:val="24253A3C"/>
    <w:rsid w:val="243335F1"/>
    <w:rsid w:val="247E5FEF"/>
    <w:rsid w:val="24D67F08"/>
    <w:rsid w:val="250E205A"/>
    <w:rsid w:val="25472D7E"/>
    <w:rsid w:val="254954C5"/>
    <w:rsid w:val="257873C3"/>
    <w:rsid w:val="2581187E"/>
    <w:rsid w:val="25847A9B"/>
    <w:rsid w:val="25AE0E19"/>
    <w:rsid w:val="25E038B2"/>
    <w:rsid w:val="25E258B6"/>
    <w:rsid w:val="260A022D"/>
    <w:rsid w:val="260A5775"/>
    <w:rsid w:val="260D77E0"/>
    <w:rsid w:val="262E46B0"/>
    <w:rsid w:val="26380843"/>
    <w:rsid w:val="263B2D1B"/>
    <w:rsid w:val="267E5734"/>
    <w:rsid w:val="268F59CF"/>
    <w:rsid w:val="26C43B7B"/>
    <w:rsid w:val="26E541DF"/>
    <w:rsid w:val="26F121F0"/>
    <w:rsid w:val="272B6E5A"/>
    <w:rsid w:val="272E5FD3"/>
    <w:rsid w:val="27D77231"/>
    <w:rsid w:val="27E2757A"/>
    <w:rsid w:val="28044637"/>
    <w:rsid w:val="281E3626"/>
    <w:rsid w:val="282B0C73"/>
    <w:rsid w:val="282F2EFC"/>
    <w:rsid w:val="287B6E1A"/>
    <w:rsid w:val="288911B9"/>
    <w:rsid w:val="289406A2"/>
    <w:rsid w:val="28EE2036"/>
    <w:rsid w:val="29196F3D"/>
    <w:rsid w:val="291A3065"/>
    <w:rsid w:val="29366520"/>
    <w:rsid w:val="299662DB"/>
    <w:rsid w:val="29A34FDC"/>
    <w:rsid w:val="29E03AE9"/>
    <w:rsid w:val="2A0D7E77"/>
    <w:rsid w:val="2A0E4FB5"/>
    <w:rsid w:val="2A583806"/>
    <w:rsid w:val="2B110A36"/>
    <w:rsid w:val="2B3C1DCB"/>
    <w:rsid w:val="2B410883"/>
    <w:rsid w:val="2B447DC3"/>
    <w:rsid w:val="2B5711AB"/>
    <w:rsid w:val="2B7661DC"/>
    <w:rsid w:val="2BAD64B5"/>
    <w:rsid w:val="2BB62387"/>
    <w:rsid w:val="2BD34316"/>
    <w:rsid w:val="2BE5161E"/>
    <w:rsid w:val="2C1E6938"/>
    <w:rsid w:val="2C4563DB"/>
    <w:rsid w:val="2C7460FF"/>
    <w:rsid w:val="2C9F5ABD"/>
    <w:rsid w:val="2CB4648C"/>
    <w:rsid w:val="2CE928DD"/>
    <w:rsid w:val="2D2D7AAC"/>
    <w:rsid w:val="2D3F104B"/>
    <w:rsid w:val="2D783662"/>
    <w:rsid w:val="2D7D21BC"/>
    <w:rsid w:val="2D8561AA"/>
    <w:rsid w:val="2DA21045"/>
    <w:rsid w:val="2DC74427"/>
    <w:rsid w:val="2E2425C2"/>
    <w:rsid w:val="2E556E88"/>
    <w:rsid w:val="2E7632C6"/>
    <w:rsid w:val="2F257E9A"/>
    <w:rsid w:val="2F330CA7"/>
    <w:rsid w:val="2F3F4014"/>
    <w:rsid w:val="2F821389"/>
    <w:rsid w:val="2FD41C05"/>
    <w:rsid w:val="303D06B3"/>
    <w:rsid w:val="30642AF1"/>
    <w:rsid w:val="30945E87"/>
    <w:rsid w:val="30AC40C6"/>
    <w:rsid w:val="30D034A6"/>
    <w:rsid w:val="314865E7"/>
    <w:rsid w:val="3152301A"/>
    <w:rsid w:val="316332DF"/>
    <w:rsid w:val="316B7452"/>
    <w:rsid w:val="318F2E52"/>
    <w:rsid w:val="31A230CB"/>
    <w:rsid w:val="322E33E2"/>
    <w:rsid w:val="326F16E8"/>
    <w:rsid w:val="32CA3260"/>
    <w:rsid w:val="330E4C4E"/>
    <w:rsid w:val="333B229A"/>
    <w:rsid w:val="334852F3"/>
    <w:rsid w:val="33797B81"/>
    <w:rsid w:val="339077A6"/>
    <w:rsid w:val="33C40EC2"/>
    <w:rsid w:val="33E62733"/>
    <w:rsid w:val="33E80E2D"/>
    <w:rsid w:val="340001E9"/>
    <w:rsid w:val="34022063"/>
    <w:rsid w:val="340B79CF"/>
    <w:rsid w:val="34184207"/>
    <w:rsid w:val="34C907A7"/>
    <w:rsid w:val="35064D89"/>
    <w:rsid w:val="353B77E2"/>
    <w:rsid w:val="35E656FC"/>
    <w:rsid w:val="35EE30DD"/>
    <w:rsid w:val="367252E0"/>
    <w:rsid w:val="36F87D39"/>
    <w:rsid w:val="370678B8"/>
    <w:rsid w:val="37846422"/>
    <w:rsid w:val="378C4F44"/>
    <w:rsid w:val="37C075FB"/>
    <w:rsid w:val="37D93A9F"/>
    <w:rsid w:val="37E35E3D"/>
    <w:rsid w:val="384A2577"/>
    <w:rsid w:val="386A0C9E"/>
    <w:rsid w:val="38770DFA"/>
    <w:rsid w:val="38A736EA"/>
    <w:rsid w:val="38E8274B"/>
    <w:rsid w:val="38EF7E2D"/>
    <w:rsid w:val="38FC77C8"/>
    <w:rsid w:val="38FE3710"/>
    <w:rsid w:val="39301960"/>
    <w:rsid w:val="39304ACB"/>
    <w:rsid w:val="399E1F94"/>
    <w:rsid w:val="39B77646"/>
    <w:rsid w:val="39BC4DC8"/>
    <w:rsid w:val="3A0A231E"/>
    <w:rsid w:val="3A0C6659"/>
    <w:rsid w:val="3A183FC2"/>
    <w:rsid w:val="3A912821"/>
    <w:rsid w:val="3A977FAE"/>
    <w:rsid w:val="3AC92999"/>
    <w:rsid w:val="3AD760E4"/>
    <w:rsid w:val="3ADB199C"/>
    <w:rsid w:val="3AFD4854"/>
    <w:rsid w:val="3B013DDA"/>
    <w:rsid w:val="3B151A18"/>
    <w:rsid w:val="3B3B16A5"/>
    <w:rsid w:val="3B430E26"/>
    <w:rsid w:val="3B515F10"/>
    <w:rsid w:val="3B553B5B"/>
    <w:rsid w:val="3B80120B"/>
    <w:rsid w:val="3B8A1106"/>
    <w:rsid w:val="3BAC4273"/>
    <w:rsid w:val="3C000A72"/>
    <w:rsid w:val="3C2D1730"/>
    <w:rsid w:val="3C4A65C7"/>
    <w:rsid w:val="3C6C46B1"/>
    <w:rsid w:val="3C7C10C8"/>
    <w:rsid w:val="3C877459"/>
    <w:rsid w:val="3CC350C0"/>
    <w:rsid w:val="3CE1686E"/>
    <w:rsid w:val="3D1B7AF5"/>
    <w:rsid w:val="3D3675FD"/>
    <w:rsid w:val="3DCD003B"/>
    <w:rsid w:val="3DE42C19"/>
    <w:rsid w:val="3DF54F87"/>
    <w:rsid w:val="3E605DE6"/>
    <w:rsid w:val="3E733781"/>
    <w:rsid w:val="3E766EAB"/>
    <w:rsid w:val="3EF99CAD"/>
    <w:rsid w:val="3F0227F8"/>
    <w:rsid w:val="3F2D1CB6"/>
    <w:rsid w:val="3F667892"/>
    <w:rsid w:val="3F875BFF"/>
    <w:rsid w:val="3F9C20E9"/>
    <w:rsid w:val="3FA4103E"/>
    <w:rsid w:val="3FD768CC"/>
    <w:rsid w:val="3FE715DF"/>
    <w:rsid w:val="3FFE4AFF"/>
    <w:rsid w:val="3FFF7040"/>
    <w:rsid w:val="40377E23"/>
    <w:rsid w:val="406364B0"/>
    <w:rsid w:val="407878BA"/>
    <w:rsid w:val="40D53839"/>
    <w:rsid w:val="40EF6094"/>
    <w:rsid w:val="41252631"/>
    <w:rsid w:val="415221DF"/>
    <w:rsid w:val="4163532E"/>
    <w:rsid w:val="418701FF"/>
    <w:rsid w:val="41905C1D"/>
    <w:rsid w:val="41AE3189"/>
    <w:rsid w:val="41B6237B"/>
    <w:rsid w:val="41F16E98"/>
    <w:rsid w:val="42D50F53"/>
    <w:rsid w:val="42F2500E"/>
    <w:rsid w:val="42FE1677"/>
    <w:rsid w:val="432B3440"/>
    <w:rsid w:val="434314A4"/>
    <w:rsid w:val="43544604"/>
    <w:rsid w:val="43744B39"/>
    <w:rsid w:val="43931843"/>
    <w:rsid w:val="43981875"/>
    <w:rsid w:val="43D13C05"/>
    <w:rsid w:val="43E94DE8"/>
    <w:rsid w:val="448C7B84"/>
    <w:rsid w:val="44CB096E"/>
    <w:rsid w:val="4537162D"/>
    <w:rsid w:val="45375A9E"/>
    <w:rsid w:val="454105AC"/>
    <w:rsid w:val="45573E9E"/>
    <w:rsid w:val="457C263C"/>
    <w:rsid w:val="458E289B"/>
    <w:rsid w:val="45CB5B15"/>
    <w:rsid w:val="45CD3A13"/>
    <w:rsid w:val="45F261D2"/>
    <w:rsid w:val="4643310C"/>
    <w:rsid w:val="46694A49"/>
    <w:rsid w:val="46942157"/>
    <w:rsid w:val="469E27B8"/>
    <w:rsid w:val="46CE1038"/>
    <w:rsid w:val="46D740FA"/>
    <w:rsid w:val="46D92C4C"/>
    <w:rsid w:val="46F53C73"/>
    <w:rsid w:val="477A3048"/>
    <w:rsid w:val="47C03E43"/>
    <w:rsid w:val="485324B9"/>
    <w:rsid w:val="48D72AAF"/>
    <w:rsid w:val="48D93D7E"/>
    <w:rsid w:val="48DA5C15"/>
    <w:rsid w:val="48E83E2D"/>
    <w:rsid w:val="49606CE7"/>
    <w:rsid w:val="49A3251E"/>
    <w:rsid w:val="49A67724"/>
    <w:rsid w:val="49CB2F9F"/>
    <w:rsid w:val="4A272033"/>
    <w:rsid w:val="4A4B5B4C"/>
    <w:rsid w:val="4A4D5B0C"/>
    <w:rsid w:val="4A646148"/>
    <w:rsid w:val="4AA8574C"/>
    <w:rsid w:val="4AF10514"/>
    <w:rsid w:val="4B56136F"/>
    <w:rsid w:val="4B8615C9"/>
    <w:rsid w:val="4C214E82"/>
    <w:rsid w:val="4C7047E8"/>
    <w:rsid w:val="4C8D0224"/>
    <w:rsid w:val="4CA0764B"/>
    <w:rsid w:val="4D0B4B63"/>
    <w:rsid w:val="4D131782"/>
    <w:rsid w:val="4D357738"/>
    <w:rsid w:val="4D426A4E"/>
    <w:rsid w:val="4DA65B64"/>
    <w:rsid w:val="4DDD65E1"/>
    <w:rsid w:val="4DE71BD4"/>
    <w:rsid w:val="4E04490D"/>
    <w:rsid w:val="4E400EEF"/>
    <w:rsid w:val="4E5C1FCA"/>
    <w:rsid w:val="4E8925E8"/>
    <w:rsid w:val="4EC00544"/>
    <w:rsid w:val="4F183151"/>
    <w:rsid w:val="4F3D39D2"/>
    <w:rsid w:val="4F545534"/>
    <w:rsid w:val="4FD83F9D"/>
    <w:rsid w:val="501F0A94"/>
    <w:rsid w:val="507E7A1A"/>
    <w:rsid w:val="507F7220"/>
    <w:rsid w:val="509513C3"/>
    <w:rsid w:val="50A53155"/>
    <w:rsid w:val="50AC18FE"/>
    <w:rsid w:val="50F93666"/>
    <w:rsid w:val="514E0864"/>
    <w:rsid w:val="517370D5"/>
    <w:rsid w:val="51A75408"/>
    <w:rsid w:val="51A8505E"/>
    <w:rsid w:val="51C26554"/>
    <w:rsid w:val="52273F9C"/>
    <w:rsid w:val="522917DA"/>
    <w:rsid w:val="52657BCC"/>
    <w:rsid w:val="52F11223"/>
    <w:rsid w:val="53275E79"/>
    <w:rsid w:val="534358A4"/>
    <w:rsid w:val="53765EA1"/>
    <w:rsid w:val="543FF534"/>
    <w:rsid w:val="545D4933"/>
    <w:rsid w:val="55002159"/>
    <w:rsid w:val="55171853"/>
    <w:rsid w:val="551C5030"/>
    <w:rsid w:val="552227BC"/>
    <w:rsid w:val="55437FE6"/>
    <w:rsid w:val="55C62DB3"/>
    <w:rsid w:val="56AB0FBE"/>
    <w:rsid w:val="56B70DF3"/>
    <w:rsid w:val="56BB6E59"/>
    <w:rsid w:val="56C8602E"/>
    <w:rsid w:val="56F332AA"/>
    <w:rsid w:val="56F62803"/>
    <w:rsid w:val="56FA5424"/>
    <w:rsid w:val="57381EA7"/>
    <w:rsid w:val="57653C70"/>
    <w:rsid w:val="57896BCD"/>
    <w:rsid w:val="57BC4D16"/>
    <w:rsid w:val="57F6575D"/>
    <w:rsid w:val="58140590"/>
    <w:rsid w:val="58782833"/>
    <w:rsid w:val="588204B9"/>
    <w:rsid w:val="58B30C53"/>
    <w:rsid w:val="58BC7AA4"/>
    <w:rsid w:val="58F011F8"/>
    <w:rsid w:val="58F3217D"/>
    <w:rsid w:val="592F4560"/>
    <w:rsid w:val="59F412C9"/>
    <w:rsid w:val="5A5020B9"/>
    <w:rsid w:val="5A8863C7"/>
    <w:rsid w:val="5A8C4F92"/>
    <w:rsid w:val="5B0247ED"/>
    <w:rsid w:val="5B1222F5"/>
    <w:rsid w:val="5B366D84"/>
    <w:rsid w:val="5B642F86"/>
    <w:rsid w:val="5BBB1EE6"/>
    <w:rsid w:val="5BC24519"/>
    <w:rsid w:val="5C042E52"/>
    <w:rsid w:val="5C1578BC"/>
    <w:rsid w:val="5C627D9A"/>
    <w:rsid w:val="5C68052A"/>
    <w:rsid w:val="5C936DF0"/>
    <w:rsid w:val="5CA20218"/>
    <w:rsid w:val="5CE87955"/>
    <w:rsid w:val="5D0F673A"/>
    <w:rsid w:val="5D292C92"/>
    <w:rsid w:val="5D3543FB"/>
    <w:rsid w:val="5D406F09"/>
    <w:rsid w:val="5D5A63DA"/>
    <w:rsid w:val="5D911291"/>
    <w:rsid w:val="5D990E09"/>
    <w:rsid w:val="5DA65D13"/>
    <w:rsid w:val="5DB3265F"/>
    <w:rsid w:val="5DD56503"/>
    <w:rsid w:val="5DD60701"/>
    <w:rsid w:val="5DD76183"/>
    <w:rsid w:val="5E001545"/>
    <w:rsid w:val="5E7B6C91"/>
    <w:rsid w:val="5E8A14A9"/>
    <w:rsid w:val="5EAC5B0F"/>
    <w:rsid w:val="5F086C2A"/>
    <w:rsid w:val="5F1E1D1D"/>
    <w:rsid w:val="5F5543F5"/>
    <w:rsid w:val="5FC24A29"/>
    <w:rsid w:val="60E9228D"/>
    <w:rsid w:val="60EF46F9"/>
    <w:rsid w:val="612861BC"/>
    <w:rsid w:val="617059E9"/>
    <w:rsid w:val="617443F0"/>
    <w:rsid w:val="61785C3F"/>
    <w:rsid w:val="625C6863"/>
    <w:rsid w:val="62720A8F"/>
    <w:rsid w:val="62CC2423"/>
    <w:rsid w:val="63205730"/>
    <w:rsid w:val="632F5D9C"/>
    <w:rsid w:val="64504149"/>
    <w:rsid w:val="64552884"/>
    <w:rsid w:val="64AE3ACB"/>
    <w:rsid w:val="64D92503"/>
    <w:rsid w:val="64F45E8A"/>
    <w:rsid w:val="65087688"/>
    <w:rsid w:val="652D227E"/>
    <w:rsid w:val="653F4B14"/>
    <w:rsid w:val="656609E7"/>
    <w:rsid w:val="65705EF9"/>
    <w:rsid w:val="657E520F"/>
    <w:rsid w:val="659F6A49"/>
    <w:rsid w:val="65A37452"/>
    <w:rsid w:val="65D10DED"/>
    <w:rsid w:val="65D11BAE"/>
    <w:rsid w:val="65E43CBA"/>
    <w:rsid w:val="66210936"/>
    <w:rsid w:val="66393956"/>
    <w:rsid w:val="66A96EFB"/>
    <w:rsid w:val="66CD64A7"/>
    <w:rsid w:val="66E66F44"/>
    <w:rsid w:val="674A0750"/>
    <w:rsid w:val="678A3FEA"/>
    <w:rsid w:val="67B04D41"/>
    <w:rsid w:val="67EB425D"/>
    <w:rsid w:val="680523B6"/>
    <w:rsid w:val="683B7691"/>
    <w:rsid w:val="685F9EAD"/>
    <w:rsid w:val="686029EA"/>
    <w:rsid w:val="68886CCA"/>
    <w:rsid w:val="68E258A1"/>
    <w:rsid w:val="692B6F9A"/>
    <w:rsid w:val="692D5081"/>
    <w:rsid w:val="69BF1A0C"/>
    <w:rsid w:val="69C82015"/>
    <w:rsid w:val="69D364AE"/>
    <w:rsid w:val="69F05A5E"/>
    <w:rsid w:val="6A440E74"/>
    <w:rsid w:val="6A5103A2"/>
    <w:rsid w:val="6A5B69BE"/>
    <w:rsid w:val="6A7B27A9"/>
    <w:rsid w:val="6ACB1DF5"/>
    <w:rsid w:val="6B15453C"/>
    <w:rsid w:val="6B363BE0"/>
    <w:rsid w:val="6B8809CE"/>
    <w:rsid w:val="6B9072BC"/>
    <w:rsid w:val="6B9A436C"/>
    <w:rsid w:val="6BDC4305"/>
    <w:rsid w:val="6BF20610"/>
    <w:rsid w:val="6BFD1721"/>
    <w:rsid w:val="6C383399"/>
    <w:rsid w:val="6C423CC3"/>
    <w:rsid w:val="6C7A2D81"/>
    <w:rsid w:val="6CA74CD2"/>
    <w:rsid w:val="6CE467D5"/>
    <w:rsid w:val="6D951597"/>
    <w:rsid w:val="6D9F19E7"/>
    <w:rsid w:val="6DB15184"/>
    <w:rsid w:val="6DFC51DB"/>
    <w:rsid w:val="6E7A264F"/>
    <w:rsid w:val="6EBC3DAB"/>
    <w:rsid w:val="6ECE5847"/>
    <w:rsid w:val="6ED3075F"/>
    <w:rsid w:val="6EFC1923"/>
    <w:rsid w:val="6F1F6F5C"/>
    <w:rsid w:val="6F30414B"/>
    <w:rsid w:val="6FB9555A"/>
    <w:rsid w:val="6FD51606"/>
    <w:rsid w:val="6FF01FC2"/>
    <w:rsid w:val="70262C93"/>
    <w:rsid w:val="704509C1"/>
    <w:rsid w:val="70A55311"/>
    <w:rsid w:val="70AD2B46"/>
    <w:rsid w:val="70EF0B5B"/>
    <w:rsid w:val="70FD48EC"/>
    <w:rsid w:val="71161139"/>
    <w:rsid w:val="7141718A"/>
    <w:rsid w:val="715F307D"/>
    <w:rsid w:val="718722D2"/>
    <w:rsid w:val="71D80DD7"/>
    <w:rsid w:val="71DE645E"/>
    <w:rsid w:val="72264648"/>
    <w:rsid w:val="723166C4"/>
    <w:rsid w:val="723D0AFC"/>
    <w:rsid w:val="72EE509C"/>
    <w:rsid w:val="732D5B1F"/>
    <w:rsid w:val="732F5B05"/>
    <w:rsid w:val="73790FED"/>
    <w:rsid w:val="73865289"/>
    <w:rsid w:val="739629B5"/>
    <w:rsid w:val="73D47729"/>
    <w:rsid w:val="73EB4E05"/>
    <w:rsid w:val="73FB3F54"/>
    <w:rsid w:val="74076D36"/>
    <w:rsid w:val="740F585F"/>
    <w:rsid w:val="74106478"/>
    <w:rsid w:val="74113EFA"/>
    <w:rsid w:val="743C27BF"/>
    <w:rsid w:val="7486695B"/>
    <w:rsid w:val="7512151E"/>
    <w:rsid w:val="75671015"/>
    <w:rsid w:val="75AD6EDB"/>
    <w:rsid w:val="75CE2F56"/>
    <w:rsid w:val="769F1FAA"/>
    <w:rsid w:val="76A828B9"/>
    <w:rsid w:val="7705712E"/>
    <w:rsid w:val="771244E7"/>
    <w:rsid w:val="774614BE"/>
    <w:rsid w:val="77792F92"/>
    <w:rsid w:val="77CA1A97"/>
    <w:rsid w:val="78211DE1"/>
    <w:rsid w:val="787E2C47"/>
    <w:rsid w:val="78D93E53"/>
    <w:rsid w:val="79083A3B"/>
    <w:rsid w:val="79180209"/>
    <w:rsid w:val="796D68C4"/>
    <w:rsid w:val="798B3A91"/>
    <w:rsid w:val="79962D1D"/>
    <w:rsid w:val="79B26C94"/>
    <w:rsid w:val="79D21E6C"/>
    <w:rsid w:val="7A286150"/>
    <w:rsid w:val="7A622A67"/>
    <w:rsid w:val="7AE451AC"/>
    <w:rsid w:val="7AF50CCA"/>
    <w:rsid w:val="7B600BBA"/>
    <w:rsid w:val="7BAB7F62"/>
    <w:rsid w:val="7BE44D4F"/>
    <w:rsid w:val="7BF7BFF6"/>
    <w:rsid w:val="7C905799"/>
    <w:rsid w:val="7CA76112"/>
    <w:rsid w:val="7CA83B93"/>
    <w:rsid w:val="7CC11DDE"/>
    <w:rsid w:val="7CF3C4DE"/>
    <w:rsid w:val="7CF616E1"/>
    <w:rsid w:val="7D093857"/>
    <w:rsid w:val="7D2E173F"/>
    <w:rsid w:val="7D7B2B58"/>
    <w:rsid w:val="7DA372AE"/>
    <w:rsid w:val="7DCC247C"/>
    <w:rsid w:val="7E4B7CF1"/>
    <w:rsid w:val="7E583605"/>
    <w:rsid w:val="7E9844A9"/>
    <w:rsid w:val="7EB70070"/>
    <w:rsid w:val="7F01583D"/>
    <w:rsid w:val="7F0A58FC"/>
    <w:rsid w:val="7F37688F"/>
    <w:rsid w:val="7F4C0A9E"/>
    <w:rsid w:val="7FDFBD76"/>
    <w:rsid w:val="7FE4078B"/>
    <w:rsid w:val="7FEFBD8E"/>
    <w:rsid w:val="7FF951BC"/>
    <w:rsid w:val="BC2E26FF"/>
    <w:rsid w:val="D95B592F"/>
    <w:rsid w:val="E7E398B5"/>
    <w:rsid w:val="EFCE4547"/>
    <w:rsid w:val="F3EF5480"/>
    <w:rsid w:val="F7DB5D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uiPriority="0" w:name="HTML Typewriter"/>
    <w:lsdException w:qFormat="1" w:uiPriority="99"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Calibri" w:hAnsi="Calibri" w:eastAsia="宋体" w:cs="Times New Roman"/>
      <w:kern w:val="2"/>
      <w:sz w:val="21"/>
      <w:lang w:val="en-US" w:eastAsia="zh-CN" w:bidi="ar-SA"/>
    </w:rPr>
  </w:style>
  <w:style w:type="paragraph" w:styleId="2">
    <w:name w:val="heading 1"/>
    <w:basedOn w:val="1"/>
    <w:next w:val="1"/>
    <w:link w:val="44"/>
    <w:qFormat/>
    <w:uiPriority w:val="9"/>
    <w:pPr>
      <w:keepNext/>
      <w:keepLines/>
      <w:spacing w:before="340" w:after="330" w:line="578" w:lineRule="atLeast"/>
      <w:ind w:firstLine="622" w:firstLineChars="200"/>
      <w:outlineLvl w:val="0"/>
    </w:pPr>
    <w:rPr>
      <w:rFonts w:eastAsia="黑体"/>
      <w:b/>
      <w:bCs/>
      <w:kern w:val="44"/>
      <w:sz w:val="32"/>
      <w:szCs w:val="44"/>
    </w:rPr>
  </w:style>
  <w:style w:type="paragraph" w:styleId="3">
    <w:name w:val="heading 2"/>
    <w:basedOn w:val="1"/>
    <w:next w:val="1"/>
    <w:link w:val="42"/>
    <w:qFormat/>
    <w:uiPriority w:val="9"/>
    <w:pPr>
      <w:keepNext/>
      <w:spacing w:line="360" w:lineRule="auto"/>
      <w:ind w:firstLine="622" w:firstLineChars="200"/>
      <w:outlineLvl w:val="1"/>
    </w:pPr>
    <w:rPr>
      <w:rFonts w:eastAsia="楷体_GB2312"/>
      <w:sz w:val="32"/>
    </w:rPr>
  </w:style>
  <w:style w:type="paragraph" w:styleId="4">
    <w:name w:val="heading 3"/>
    <w:basedOn w:val="1"/>
    <w:next w:val="1"/>
    <w:link w:val="43"/>
    <w:qFormat/>
    <w:uiPriority w:val="9"/>
    <w:pPr>
      <w:keepNext/>
      <w:spacing w:line="360" w:lineRule="auto"/>
      <w:ind w:left="0" w:firstLine="622" w:firstLineChars="200"/>
      <w:outlineLvl w:val="2"/>
    </w:pPr>
    <w:rPr>
      <w:rFonts w:ascii="Times New Roman" w:hAnsi="Times New Roman" w:eastAsia="仿宋_GB2312"/>
      <w:b/>
      <w:sz w:val="32"/>
      <w:szCs w:val="32"/>
    </w:rPr>
  </w:style>
  <w:style w:type="paragraph" w:styleId="5">
    <w:name w:val="heading 9"/>
    <w:basedOn w:val="1"/>
    <w:next w:val="1"/>
    <w:qFormat/>
    <w:uiPriority w:val="9"/>
    <w:pPr>
      <w:keepNext/>
      <w:widowControl/>
      <w:jc w:val="left"/>
      <w:outlineLvl w:val="8"/>
    </w:pPr>
    <w:rPr>
      <w:rFonts w:ascii="宋体" w:hAnsi="宋体"/>
      <w:szCs w:val="24"/>
    </w:rPr>
  </w:style>
  <w:style w:type="character" w:default="1" w:styleId="27">
    <w:name w:val="Default Paragraph Font"/>
    <w:semiHidden/>
    <w:unhideWhenUsed/>
    <w:qFormat/>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2"/>
    <w:unhideWhenUsed/>
    <w:qFormat/>
    <w:uiPriority w:val="0"/>
    <w:rPr>
      <w:b/>
      <w:bCs/>
    </w:rPr>
  </w:style>
  <w:style w:type="paragraph" w:styleId="7">
    <w:name w:val="annotation text"/>
    <w:basedOn w:val="1"/>
    <w:link w:val="63"/>
    <w:unhideWhenUsed/>
    <w:qFormat/>
    <w:uiPriority w:val="99"/>
    <w:pPr>
      <w:jc w:val="left"/>
    </w:pPr>
  </w:style>
  <w:style w:type="paragraph" w:styleId="8">
    <w:name w:val="toc 7"/>
    <w:basedOn w:val="1"/>
    <w:next w:val="1"/>
    <w:unhideWhenUsed/>
    <w:qFormat/>
    <w:uiPriority w:val="39"/>
    <w:pPr>
      <w:adjustRightInd/>
      <w:spacing w:line="240" w:lineRule="auto"/>
      <w:ind w:left="2520" w:leftChars="1200"/>
      <w:textAlignment w:val="auto"/>
    </w:pPr>
    <w:rPr>
      <w:rFonts w:ascii="等线" w:hAnsi="等线" w:eastAsia="等线"/>
      <w:szCs w:val="22"/>
    </w:rPr>
  </w:style>
  <w:style w:type="paragraph" w:styleId="9">
    <w:name w:val="Normal Indent"/>
    <w:basedOn w:val="1"/>
    <w:link w:val="78"/>
    <w:qFormat/>
    <w:uiPriority w:val="0"/>
    <w:pPr>
      <w:autoSpaceDE w:val="0"/>
      <w:autoSpaceDN w:val="0"/>
      <w:adjustRightInd/>
      <w:spacing w:line="360" w:lineRule="auto"/>
      <w:ind w:left="181" w:firstLine="420" w:firstLineChars="200"/>
      <w:textAlignment w:val="auto"/>
    </w:pPr>
    <w:rPr>
      <w:sz w:val="24"/>
      <w:szCs w:val="22"/>
    </w:rPr>
  </w:style>
  <w:style w:type="paragraph" w:styleId="10">
    <w:name w:val="Document Map"/>
    <w:basedOn w:val="1"/>
    <w:link w:val="68"/>
    <w:unhideWhenUsed/>
    <w:qFormat/>
    <w:uiPriority w:val="99"/>
    <w:rPr>
      <w:rFonts w:ascii="宋体"/>
      <w:sz w:val="18"/>
      <w:szCs w:val="18"/>
    </w:rPr>
  </w:style>
  <w:style w:type="paragraph" w:styleId="11">
    <w:name w:val="Body Text"/>
    <w:basedOn w:val="1"/>
    <w:unhideWhenUsed/>
    <w:qFormat/>
    <w:uiPriority w:val="99"/>
    <w:pPr>
      <w:autoSpaceDE w:val="0"/>
      <w:autoSpaceDN w:val="0"/>
      <w:jc w:val="center"/>
    </w:pPr>
    <w:rPr>
      <w:rFonts w:ascii="仿宋_GB2312"/>
      <w:kern w:val="0"/>
      <w:sz w:val="24"/>
    </w:rPr>
  </w:style>
  <w:style w:type="paragraph" w:styleId="12">
    <w:name w:val="toc 5"/>
    <w:basedOn w:val="1"/>
    <w:next w:val="1"/>
    <w:unhideWhenUsed/>
    <w:qFormat/>
    <w:uiPriority w:val="39"/>
    <w:pPr>
      <w:adjustRightInd/>
      <w:spacing w:line="240" w:lineRule="auto"/>
      <w:ind w:left="1680" w:leftChars="800"/>
      <w:textAlignment w:val="auto"/>
    </w:pPr>
    <w:rPr>
      <w:rFonts w:ascii="等线" w:hAnsi="等线" w:eastAsia="等线"/>
      <w:szCs w:val="22"/>
    </w:rPr>
  </w:style>
  <w:style w:type="paragraph" w:styleId="13">
    <w:name w:val="toc 3"/>
    <w:basedOn w:val="1"/>
    <w:next w:val="1"/>
    <w:unhideWhenUsed/>
    <w:qFormat/>
    <w:uiPriority w:val="39"/>
    <w:pPr>
      <w:ind w:left="840" w:leftChars="400"/>
    </w:pPr>
  </w:style>
  <w:style w:type="paragraph" w:styleId="14">
    <w:name w:val="Plain Text"/>
    <w:basedOn w:val="1"/>
    <w:unhideWhenUsed/>
    <w:qFormat/>
    <w:uiPriority w:val="0"/>
    <w:rPr>
      <w:rFonts w:ascii="宋体" w:hAnsi="Courier New" w:cs="Courier New"/>
      <w:szCs w:val="21"/>
    </w:rPr>
  </w:style>
  <w:style w:type="paragraph" w:styleId="15">
    <w:name w:val="toc 8"/>
    <w:basedOn w:val="1"/>
    <w:next w:val="1"/>
    <w:unhideWhenUsed/>
    <w:qFormat/>
    <w:uiPriority w:val="39"/>
    <w:pPr>
      <w:adjustRightInd/>
      <w:spacing w:line="240" w:lineRule="auto"/>
      <w:ind w:left="2940" w:leftChars="1400"/>
      <w:textAlignment w:val="auto"/>
    </w:pPr>
    <w:rPr>
      <w:rFonts w:ascii="等线" w:hAnsi="等线" w:eastAsia="等线"/>
      <w:szCs w:val="22"/>
    </w:rPr>
  </w:style>
  <w:style w:type="paragraph" w:styleId="16">
    <w:name w:val="Date"/>
    <w:basedOn w:val="1"/>
    <w:next w:val="1"/>
    <w:unhideWhenUsed/>
    <w:qFormat/>
    <w:uiPriority w:val="99"/>
    <w:rPr>
      <w:sz w:val="32"/>
    </w:rPr>
  </w:style>
  <w:style w:type="paragraph" w:styleId="17">
    <w:name w:val="Balloon Text"/>
    <w:basedOn w:val="1"/>
    <w:link w:val="80"/>
    <w:unhideWhenUsed/>
    <w:qFormat/>
    <w:uiPriority w:val="99"/>
    <w:pPr>
      <w:spacing w:line="240" w:lineRule="auto"/>
    </w:pPr>
    <w:rPr>
      <w:sz w:val="18"/>
      <w:szCs w:val="18"/>
    </w:rPr>
  </w:style>
  <w:style w:type="paragraph" w:styleId="18">
    <w:name w:val="footer"/>
    <w:basedOn w:val="1"/>
    <w:link w:val="82"/>
    <w:unhideWhenUsed/>
    <w:qFormat/>
    <w:uiPriority w:val="99"/>
    <w:pPr>
      <w:tabs>
        <w:tab w:val="center" w:pos="4153"/>
        <w:tab w:val="right" w:pos="8306"/>
      </w:tabs>
      <w:snapToGrid w:val="0"/>
      <w:jc w:val="left"/>
    </w:pPr>
    <w:rPr>
      <w:sz w:val="18"/>
    </w:rPr>
  </w:style>
  <w:style w:type="paragraph" w:styleId="19">
    <w:name w:val="header"/>
    <w:basedOn w:val="1"/>
    <w:link w:val="64"/>
    <w:unhideWhenUsed/>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spacing w:line="360" w:lineRule="auto"/>
    </w:pPr>
    <w:rPr>
      <w:sz w:val="24"/>
    </w:rPr>
  </w:style>
  <w:style w:type="paragraph" w:styleId="21">
    <w:name w:val="toc 4"/>
    <w:basedOn w:val="1"/>
    <w:next w:val="1"/>
    <w:unhideWhenUsed/>
    <w:qFormat/>
    <w:uiPriority w:val="39"/>
    <w:pPr>
      <w:adjustRightInd/>
      <w:spacing w:line="240" w:lineRule="auto"/>
      <w:ind w:left="1260" w:leftChars="600"/>
      <w:textAlignment w:val="auto"/>
    </w:pPr>
    <w:rPr>
      <w:rFonts w:ascii="等线" w:hAnsi="等线" w:eastAsia="等线"/>
      <w:szCs w:val="22"/>
    </w:rPr>
  </w:style>
  <w:style w:type="paragraph" w:styleId="22">
    <w:name w:val="toc 6"/>
    <w:basedOn w:val="1"/>
    <w:next w:val="1"/>
    <w:unhideWhenUsed/>
    <w:qFormat/>
    <w:uiPriority w:val="39"/>
    <w:pPr>
      <w:adjustRightInd/>
      <w:spacing w:line="240" w:lineRule="auto"/>
      <w:ind w:left="2100" w:leftChars="1000"/>
      <w:textAlignment w:val="auto"/>
    </w:pPr>
    <w:rPr>
      <w:rFonts w:ascii="等线" w:hAnsi="等线" w:eastAsia="等线"/>
      <w:szCs w:val="22"/>
    </w:rPr>
  </w:style>
  <w:style w:type="paragraph" w:styleId="23">
    <w:name w:val="toc 2"/>
    <w:basedOn w:val="1"/>
    <w:next w:val="1"/>
    <w:unhideWhenUsed/>
    <w:qFormat/>
    <w:uiPriority w:val="39"/>
    <w:pPr>
      <w:ind w:left="420" w:leftChars="200"/>
    </w:pPr>
  </w:style>
  <w:style w:type="paragraph" w:styleId="24">
    <w:name w:val="toc 9"/>
    <w:basedOn w:val="1"/>
    <w:next w:val="1"/>
    <w:unhideWhenUsed/>
    <w:qFormat/>
    <w:uiPriority w:val="39"/>
    <w:pPr>
      <w:adjustRightInd/>
      <w:spacing w:line="240" w:lineRule="auto"/>
      <w:ind w:left="3360" w:leftChars="1600"/>
      <w:textAlignment w:val="auto"/>
    </w:pPr>
    <w:rPr>
      <w:rFonts w:ascii="等线" w:hAnsi="等线" w:eastAsia="等线"/>
      <w:szCs w:val="22"/>
    </w:rPr>
  </w:style>
  <w:style w:type="paragraph" w:styleId="25">
    <w:name w:val="Normal (Web)"/>
    <w:basedOn w:val="1"/>
    <w:unhideWhenUsed/>
    <w:qFormat/>
    <w:uiPriority w:val="99"/>
    <w:pPr>
      <w:spacing w:before="100" w:beforeAutospacing="1" w:after="100" w:afterAutospacing="1"/>
    </w:pPr>
    <w:rPr>
      <w:rFonts w:ascii="宋体" w:hAnsi="宋体" w:cs="宋体"/>
      <w:sz w:val="24"/>
      <w:szCs w:val="24"/>
    </w:rPr>
  </w:style>
  <w:style w:type="paragraph" w:styleId="26">
    <w:name w:val="Title"/>
    <w:basedOn w:val="1"/>
    <w:next w:val="1"/>
    <w:link w:val="69"/>
    <w:qFormat/>
    <w:uiPriority w:val="10"/>
    <w:pPr>
      <w:adjustRightInd/>
      <w:spacing w:before="240" w:after="60" w:line="240" w:lineRule="auto"/>
      <w:jc w:val="center"/>
      <w:textAlignment w:val="auto"/>
      <w:outlineLvl w:val="0"/>
    </w:pPr>
    <w:rPr>
      <w:rFonts w:ascii="Cambria" w:hAnsi="Cambria"/>
      <w:b/>
      <w:bCs/>
      <w:sz w:val="32"/>
      <w:szCs w:val="32"/>
    </w:rPr>
  </w:style>
  <w:style w:type="character" w:styleId="28">
    <w:name w:val="Strong"/>
    <w:qFormat/>
    <w:uiPriority w:val="22"/>
    <w:rPr>
      <w:b/>
      <w:bCs/>
    </w:rPr>
  </w:style>
  <w:style w:type="character" w:styleId="29">
    <w:name w:val="page number"/>
    <w:basedOn w:val="27"/>
    <w:unhideWhenUsed/>
    <w:qFormat/>
    <w:uiPriority w:val="99"/>
  </w:style>
  <w:style w:type="character" w:styleId="30">
    <w:name w:val="FollowedHyperlink"/>
    <w:unhideWhenUsed/>
    <w:qFormat/>
    <w:uiPriority w:val="99"/>
    <w:rPr>
      <w:color w:val="136EC2"/>
      <w:u w:val="single"/>
    </w:rPr>
  </w:style>
  <w:style w:type="character" w:styleId="31">
    <w:name w:val="Emphasis"/>
    <w:basedOn w:val="27"/>
    <w:qFormat/>
    <w:uiPriority w:val="20"/>
  </w:style>
  <w:style w:type="character" w:styleId="32">
    <w:name w:val="HTML Definition"/>
    <w:basedOn w:val="27"/>
    <w:unhideWhenUsed/>
    <w:qFormat/>
    <w:uiPriority w:val="99"/>
  </w:style>
  <w:style w:type="character" w:styleId="33">
    <w:name w:val="HTML Variable"/>
    <w:basedOn w:val="27"/>
    <w:unhideWhenUsed/>
    <w:qFormat/>
    <w:uiPriority w:val="99"/>
  </w:style>
  <w:style w:type="character" w:styleId="34">
    <w:name w:val="Hyperlink"/>
    <w:unhideWhenUsed/>
    <w:qFormat/>
    <w:uiPriority w:val="99"/>
    <w:rPr>
      <w:color w:val="136EC2"/>
      <w:u w:val="single"/>
    </w:rPr>
  </w:style>
  <w:style w:type="character" w:styleId="35">
    <w:name w:val="HTML Code"/>
    <w:unhideWhenUsed/>
    <w:qFormat/>
    <w:uiPriority w:val="99"/>
    <w:rPr>
      <w:rFonts w:ascii="Courier New" w:hAnsi="Courier New" w:eastAsia="Courier New" w:cs="Courier New"/>
      <w:sz w:val="20"/>
    </w:rPr>
  </w:style>
  <w:style w:type="character" w:styleId="36">
    <w:name w:val="annotation reference"/>
    <w:unhideWhenUsed/>
    <w:qFormat/>
    <w:uiPriority w:val="99"/>
    <w:rPr>
      <w:sz w:val="21"/>
      <w:szCs w:val="21"/>
    </w:rPr>
  </w:style>
  <w:style w:type="character" w:styleId="37">
    <w:name w:val="HTML Cite"/>
    <w:basedOn w:val="27"/>
    <w:unhideWhenUsed/>
    <w:qFormat/>
    <w:uiPriority w:val="99"/>
  </w:style>
  <w:style w:type="character" w:styleId="38">
    <w:name w:val="HTML Keyboard"/>
    <w:unhideWhenUsed/>
    <w:qFormat/>
    <w:uiPriority w:val="99"/>
    <w:rPr>
      <w:rFonts w:ascii="Courier New" w:hAnsi="Courier New" w:eastAsia="Courier New" w:cs="Courier New"/>
      <w:sz w:val="20"/>
    </w:rPr>
  </w:style>
  <w:style w:type="character" w:styleId="39">
    <w:name w:val="HTML Sample"/>
    <w:unhideWhenUsed/>
    <w:qFormat/>
    <w:uiPriority w:val="99"/>
    <w:rPr>
      <w:rFonts w:ascii="Courier New" w:hAnsi="Courier New" w:eastAsia="Courier New" w:cs="Courier New"/>
    </w:rPr>
  </w:style>
  <w:style w:type="table" w:styleId="41">
    <w:name w:val="Table Grid"/>
    <w:basedOn w:val="40"/>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2">
    <w:name w:val="标题 2 字符1"/>
    <w:link w:val="3"/>
    <w:qFormat/>
    <w:uiPriority w:val="9"/>
    <w:rPr>
      <w:rFonts w:eastAsia="楷体_GB2312"/>
      <w:kern w:val="2"/>
      <w:sz w:val="32"/>
    </w:rPr>
  </w:style>
  <w:style w:type="character" w:customStyle="1" w:styleId="43">
    <w:name w:val="标题 3 字符"/>
    <w:link w:val="4"/>
    <w:qFormat/>
    <w:uiPriority w:val="9"/>
    <w:rPr>
      <w:rFonts w:ascii="Times New Roman" w:hAnsi="Times New Roman" w:eastAsia="仿宋_GB2312"/>
      <w:b/>
      <w:kern w:val="2"/>
      <w:sz w:val="32"/>
      <w:szCs w:val="32"/>
    </w:rPr>
  </w:style>
  <w:style w:type="character" w:customStyle="1" w:styleId="44">
    <w:name w:val="标题 1 字符"/>
    <w:link w:val="2"/>
    <w:qFormat/>
    <w:uiPriority w:val="9"/>
    <w:rPr>
      <w:rFonts w:eastAsia="黑体"/>
      <w:b/>
      <w:bCs/>
      <w:kern w:val="44"/>
      <w:sz w:val="32"/>
      <w:szCs w:val="44"/>
    </w:rPr>
  </w:style>
  <w:style w:type="paragraph" w:customStyle="1" w:styleId="45">
    <w:name w:val="Char Char Char Char"/>
    <w:basedOn w:val="1"/>
    <w:qFormat/>
    <w:uiPriority w:val="0"/>
    <w:pPr>
      <w:adjustRightInd/>
      <w:spacing w:line="240" w:lineRule="auto"/>
      <w:textAlignment w:val="auto"/>
    </w:pPr>
    <w:rPr>
      <w:szCs w:val="24"/>
    </w:rPr>
  </w:style>
  <w:style w:type="paragraph" w:customStyle="1" w:styleId="46">
    <w:name w:val="_Style 1"/>
    <w:basedOn w:val="1"/>
    <w:qFormat/>
    <w:uiPriority w:val="34"/>
    <w:pPr>
      <w:adjustRightInd/>
      <w:spacing w:line="360" w:lineRule="auto"/>
      <w:ind w:firstLine="420" w:firstLineChars="200"/>
      <w:textAlignment w:val="auto"/>
    </w:pPr>
    <w:rPr>
      <w:sz w:val="24"/>
    </w:rPr>
  </w:style>
  <w:style w:type="paragraph" w:customStyle="1" w:styleId="47">
    <w:name w:val="题1.1"/>
    <w:basedOn w:val="1"/>
    <w:qFormat/>
    <w:uiPriority w:val="0"/>
    <w:pPr>
      <w:spacing w:after="60"/>
      <w:ind w:left="454" w:firstLine="454"/>
    </w:pPr>
    <w:rPr>
      <w:rFonts w:ascii="楷体_GB2312" w:eastAsia="楷体_GB2312"/>
      <w:spacing w:val="15"/>
      <w:kern w:val="0"/>
    </w:rPr>
  </w:style>
  <w:style w:type="paragraph" w:styleId="48">
    <w:name w:val="List Paragraph"/>
    <w:basedOn w:val="1"/>
    <w:qFormat/>
    <w:uiPriority w:val="34"/>
    <w:pPr>
      <w:adjustRightInd/>
      <w:spacing w:line="240" w:lineRule="auto"/>
      <w:ind w:firstLine="420" w:firstLineChars="200"/>
      <w:textAlignment w:val="auto"/>
    </w:pPr>
  </w:style>
  <w:style w:type="paragraph" w:customStyle="1" w:styleId="49">
    <w:name w:val="List Paragraph1"/>
    <w:basedOn w:val="1"/>
    <w:qFormat/>
    <w:uiPriority w:val="0"/>
    <w:pPr>
      <w:ind w:firstLine="420" w:firstLineChars="200"/>
    </w:pPr>
    <w:rPr>
      <w:szCs w:val="22"/>
    </w:rPr>
  </w:style>
  <w:style w:type="paragraph" w:customStyle="1" w:styleId="50">
    <w:name w:val="_Style 46"/>
    <w:unhideWhenUsed/>
    <w:qFormat/>
    <w:uiPriority w:val="99"/>
    <w:rPr>
      <w:rFonts w:ascii="Calibri" w:hAnsi="Calibri" w:eastAsia="宋体" w:cs="Times New Roman"/>
      <w:kern w:val="2"/>
      <w:sz w:val="21"/>
      <w:lang w:val="en-US" w:eastAsia="zh-CN" w:bidi="ar-SA"/>
    </w:rPr>
  </w:style>
  <w:style w:type="paragraph" w:customStyle="1" w:styleId="51">
    <w:name w:val="列出段落1"/>
    <w:basedOn w:val="1"/>
    <w:qFormat/>
    <w:uiPriority w:val="0"/>
    <w:pPr>
      <w:widowControl/>
      <w:snapToGrid w:val="0"/>
      <w:spacing w:after="200"/>
      <w:ind w:firstLine="420" w:firstLineChars="200"/>
      <w:jc w:val="left"/>
    </w:pPr>
    <w:rPr>
      <w:rFonts w:ascii="Tahoma" w:hAnsi="Tahoma" w:eastAsia="微软雅黑"/>
      <w:kern w:val="0"/>
      <w:sz w:val="22"/>
      <w:szCs w:val="22"/>
    </w:rPr>
  </w:style>
  <w:style w:type="paragraph" w:customStyle="1" w:styleId="52">
    <w:name w:val="_Style 48"/>
    <w:basedOn w:val="2"/>
    <w:next w:val="1"/>
    <w:unhideWhenUsed/>
    <w:qFormat/>
    <w:uiPriority w:val="39"/>
    <w:pPr>
      <w:widowControl/>
      <w:adjustRightInd/>
      <w:spacing w:before="240" w:after="0" w:line="259" w:lineRule="auto"/>
      <w:jc w:val="left"/>
      <w:textAlignment w:val="auto"/>
      <w:outlineLvl w:val="9"/>
    </w:pPr>
    <w:rPr>
      <w:rFonts w:ascii="等线 Light" w:hAnsi="等线 Light" w:eastAsia="等线 Light"/>
      <w:b w:val="0"/>
      <w:bCs w:val="0"/>
      <w:color w:val="2F5496"/>
      <w:kern w:val="0"/>
      <w:sz w:val="32"/>
      <w:szCs w:val="32"/>
    </w:rPr>
  </w:style>
  <w:style w:type="paragraph" w:customStyle="1" w:styleId="53">
    <w:name w:val="样式1"/>
    <w:basedOn w:val="4"/>
    <w:qFormat/>
    <w:uiPriority w:val="0"/>
    <w:pPr>
      <w:keepLines/>
      <w:tabs>
        <w:tab w:val="left" w:pos="720"/>
      </w:tabs>
      <w:spacing w:before="260" w:after="260" w:line="416" w:lineRule="auto"/>
      <w:ind w:left="720" w:hanging="720"/>
    </w:pPr>
    <w:rPr>
      <w:rFonts w:ascii="宋体"/>
    </w:rPr>
  </w:style>
  <w:style w:type="paragraph" w:customStyle="1" w:styleId="54">
    <w:name w:val="样式 样式 宋体 小四 黑色 两端对齐 段前: 1.2 磅 段后: 1.2 磅 行距: 1.5 倍行距 + 首行缩进:  2 字符"/>
    <w:basedOn w:val="1"/>
    <w:qFormat/>
    <w:uiPriority w:val="0"/>
    <w:pPr>
      <w:widowControl/>
      <w:overflowPunct w:val="0"/>
      <w:autoSpaceDE w:val="0"/>
      <w:autoSpaceDN w:val="0"/>
      <w:spacing w:after="120" w:line="400" w:lineRule="exact"/>
      <w:ind w:firstLine="480" w:firstLineChars="200"/>
    </w:pPr>
    <w:rPr>
      <w:rFonts w:ascii="楷体_GB2312" w:hAnsi="Arial" w:eastAsia="楷体_GB2312"/>
      <w:kern w:val="0"/>
      <w:sz w:val="24"/>
      <w:szCs w:val="24"/>
    </w:rPr>
  </w:style>
  <w:style w:type="paragraph" w:customStyle="1" w:styleId="55">
    <w:name w:val="章"/>
    <w:basedOn w:val="1"/>
    <w:qFormat/>
    <w:uiPriority w:val="0"/>
    <w:pPr>
      <w:spacing w:before="120" w:after="240"/>
      <w:jc w:val="center"/>
    </w:pPr>
    <w:rPr>
      <w:rFonts w:ascii="宋体"/>
      <w:b/>
      <w:spacing w:val="5"/>
      <w:kern w:val="0"/>
      <w:sz w:val="28"/>
    </w:rPr>
  </w:style>
  <w:style w:type="paragraph" w:customStyle="1" w:styleId="56">
    <w:name w:val="默认段落字体 Para Char Char Char Char Char Char Char"/>
    <w:basedOn w:val="1"/>
    <w:qFormat/>
    <w:uiPriority w:val="0"/>
    <w:rPr>
      <w:rFonts w:ascii="Tahoma" w:hAnsi="Tahoma"/>
      <w:sz w:val="24"/>
    </w:rPr>
  </w:style>
  <w:style w:type="character" w:customStyle="1" w:styleId="57">
    <w:name w:val="bds_more6"/>
    <w:basedOn w:val="27"/>
    <w:qFormat/>
    <w:uiPriority w:val="0"/>
  </w:style>
  <w:style w:type="character" w:customStyle="1" w:styleId="58">
    <w:name w:val="bds_nopic"/>
    <w:basedOn w:val="27"/>
    <w:qFormat/>
    <w:uiPriority w:val="0"/>
  </w:style>
  <w:style w:type="character" w:customStyle="1" w:styleId="59">
    <w:name w:val="sidecatalog-index2"/>
    <w:qFormat/>
    <w:uiPriority w:val="0"/>
    <w:rPr>
      <w:rFonts w:ascii="Arail" w:hAnsi="Arail" w:eastAsia="Arail" w:cs="Arail"/>
      <w:color w:val="999999"/>
      <w:sz w:val="21"/>
      <w:szCs w:val="21"/>
    </w:rPr>
  </w:style>
  <w:style w:type="character" w:customStyle="1" w:styleId="60">
    <w:name w:val="bds_nopic1"/>
    <w:basedOn w:val="27"/>
    <w:qFormat/>
    <w:uiPriority w:val="0"/>
  </w:style>
  <w:style w:type="character" w:customStyle="1" w:styleId="61">
    <w:name w:val="polysemyred"/>
    <w:qFormat/>
    <w:uiPriority w:val="0"/>
    <w:rPr>
      <w:color w:val="FF6666"/>
      <w:sz w:val="18"/>
      <w:szCs w:val="18"/>
    </w:rPr>
  </w:style>
  <w:style w:type="character" w:customStyle="1" w:styleId="62">
    <w:name w:val="批注主题 字符"/>
    <w:basedOn w:val="63"/>
    <w:link w:val="6"/>
    <w:qFormat/>
    <w:uiPriority w:val="0"/>
    <w:rPr>
      <w:kern w:val="2"/>
      <w:sz w:val="21"/>
    </w:rPr>
  </w:style>
  <w:style w:type="character" w:customStyle="1" w:styleId="63">
    <w:name w:val="批注文字 字符"/>
    <w:link w:val="7"/>
    <w:qFormat/>
    <w:uiPriority w:val="99"/>
    <w:rPr>
      <w:kern w:val="2"/>
      <w:sz w:val="21"/>
    </w:rPr>
  </w:style>
  <w:style w:type="character" w:customStyle="1" w:styleId="64">
    <w:name w:val="页眉 字符"/>
    <w:link w:val="19"/>
    <w:qFormat/>
    <w:uiPriority w:val="99"/>
    <w:rPr>
      <w:kern w:val="2"/>
      <w:sz w:val="18"/>
    </w:rPr>
  </w:style>
  <w:style w:type="character" w:customStyle="1" w:styleId="65">
    <w:name w:val="bds_more9"/>
    <w:basedOn w:val="27"/>
    <w:qFormat/>
    <w:uiPriority w:val="0"/>
  </w:style>
  <w:style w:type="character" w:customStyle="1" w:styleId="66">
    <w:name w:val="sidecatalog-dot"/>
    <w:basedOn w:val="27"/>
    <w:qFormat/>
    <w:uiPriority w:val="0"/>
  </w:style>
  <w:style w:type="character" w:customStyle="1" w:styleId="67">
    <w:name w:val="polysemyexp"/>
    <w:qFormat/>
    <w:uiPriority w:val="0"/>
    <w:rPr>
      <w:color w:val="AAAAAA"/>
      <w:sz w:val="18"/>
      <w:szCs w:val="18"/>
    </w:rPr>
  </w:style>
  <w:style w:type="character" w:customStyle="1" w:styleId="68">
    <w:name w:val="文档结构图 字符"/>
    <w:link w:val="10"/>
    <w:semiHidden/>
    <w:qFormat/>
    <w:uiPriority w:val="99"/>
    <w:rPr>
      <w:rFonts w:ascii="宋体"/>
      <w:kern w:val="2"/>
      <w:sz w:val="18"/>
      <w:szCs w:val="18"/>
    </w:rPr>
  </w:style>
  <w:style w:type="character" w:customStyle="1" w:styleId="69">
    <w:name w:val="标题 字符"/>
    <w:link w:val="26"/>
    <w:qFormat/>
    <w:uiPriority w:val="10"/>
    <w:rPr>
      <w:rFonts w:ascii="Cambria" w:hAnsi="Cambria"/>
      <w:b/>
      <w:bCs/>
      <w:kern w:val="2"/>
      <w:sz w:val="32"/>
      <w:szCs w:val="32"/>
    </w:rPr>
  </w:style>
  <w:style w:type="character" w:customStyle="1" w:styleId="70">
    <w:name w:val="rowhref"/>
    <w:basedOn w:val="27"/>
    <w:qFormat/>
    <w:uiPriority w:val="0"/>
  </w:style>
  <w:style w:type="character" w:customStyle="1" w:styleId="71">
    <w:name w:val="sort1"/>
    <w:basedOn w:val="27"/>
    <w:qFormat/>
    <w:uiPriority w:val="0"/>
  </w:style>
  <w:style w:type="character" w:customStyle="1" w:styleId="72">
    <w:name w:val="morelink-item"/>
    <w:basedOn w:val="27"/>
    <w:qFormat/>
    <w:uiPriority w:val="0"/>
  </w:style>
  <w:style w:type="character" w:customStyle="1" w:styleId="73">
    <w:name w:val="bds_more8"/>
    <w:basedOn w:val="27"/>
    <w:qFormat/>
    <w:uiPriority w:val="0"/>
  </w:style>
  <w:style w:type="character" w:customStyle="1" w:styleId="74">
    <w:name w:val="plus"/>
    <w:qFormat/>
    <w:uiPriority w:val="0"/>
    <w:rPr>
      <w:b/>
      <w:vanish/>
      <w:color w:val="1F8DEF"/>
      <w:sz w:val="24"/>
      <w:szCs w:val="24"/>
    </w:rPr>
  </w:style>
  <w:style w:type="character" w:customStyle="1" w:styleId="75">
    <w:name w:val="bds_more10"/>
    <w:basedOn w:val="27"/>
    <w:qFormat/>
    <w:uiPriority w:val="0"/>
  </w:style>
  <w:style w:type="character" w:customStyle="1" w:styleId="76">
    <w:name w:val="desc"/>
    <w:qFormat/>
    <w:uiPriority w:val="0"/>
    <w:rPr>
      <w:color w:val="000000"/>
      <w:sz w:val="18"/>
      <w:szCs w:val="18"/>
    </w:rPr>
  </w:style>
  <w:style w:type="character" w:customStyle="1" w:styleId="77">
    <w:name w:val="sidecatalog-dot1"/>
    <w:basedOn w:val="27"/>
    <w:qFormat/>
    <w:uiPriority w:val="0"/>
  </w:style>
  <w:style w:type="character" w:customStyle="1" w:styleId="78">
    <w:name w:val="正文缩进 字符"/>
    <w:link w:val="9"/>
    <w:qFormat/>
    <w:uiPriority w:val="0"/>
    <w:rPr>
      <w:rFonts w:ascii="Calibri" w:hAnsi="Calibri"/>
      <w:kern w:val="2"/>
      <w:sz w:val="24"/>
      <w:szCs w:val="22"/>
    </w:rPr>
  </w:style>
  <w:style w:type="character" w:customStyle="1" w:styleId="79">
    <w:name w:val="sort"/>
    <w:qFormat/>
    <w:uiPriority w:val="0"/>
    <w:rPr>
      <w:color w:val="FFFFFF"/>
      <w:bdr w:val="single" w:color="auto" w:sz="24" w:space="0"/>
    </w:rPr>
  </w:style>
  <w:style w:type="character" w:customStyle="1" w:styleId="80">
    <w:name w:val="批注框文本 字符"/>
    <w:link w:val="17"/>
    <w:semiHidden/>
    <w:qFormat/>
    <w:uiPriority w:val="99"/>
    <w:rPr>
      <w:kern w:val="2"/>
      <w:sz w:val="18"/>
      <w:szCs w:val="18"/>
    </w:rPr>
  </w:style>
  <w:style w:type="character" w:customStyle="1" w:styleId="81">
    <w:name w:val="标题 2 字符"/>
    <w:qFormat/>
    <w:uiPriority w:val="9"/>
    <w:rPr>
      <w:rFonts w:ascii="等线 Light" w:hAnsi="等线 Light" w:eastAsia="等线 Light" w:cs="Times New Roman"/>
      <w:b/>
      <w:bCs/>
      <w:sz w:val="32"/>
      <w:szCs w:val="32"/>
    </w:rPr>
  </w:style>
  <w:style w:type="character" w:customStyle="1" w:styleId="82">
    <w:name w:val="页脚 字符1"/>
    <w:link w:val="18"/>
    <w:qFormat/>
    <w:uiPriority w:val="99"/>
    <w:rPr>
      <w:kern w:val="2"/>
      <w:sz w:val="18"/>
    </w:rPr>
  </w:style>
  <w:style w:type="character" w:customStyle="1" w:styleId="83">
    <w:name w:val="sidecatalog-index1"/>
    <w:qFormat/>
    <w:uiPriority w:val="0"/>
    <w:rPr>
      <w:rFonts w:ascii="Arial" w:hAnsi="Arial" w:cs="Arial"/>
      <w:b/>
      <w:color w:val="999999"/>
      <w:sz w:val="21"/>
      <w:szCs w:val="21"/>
    </w:rPr>
  </w:style>
  <w:style w:type="character" w:customStyle="1" w:styleId="84">
    <w:name w:val="bds_more7"/>
    <w:qFormat/>
    <w:uiPriority w:val="0"/>
    <w:rPr>
      <w:rFonts w:hint="eastAsia" w:ascii="宋体" w:hAnsi="宋体" w:eastAsia="宋体" w:cs="宋体"/>
    </w:rPr>
  </w:style>
  <w:style w:type="character" w:customStyle="1" w:styleId="85">
    <w:name w:val="页脚 字符"/>
    <w:qFormat/>
    <w:uiPriority w:val="99"/>
  </w:style>
  <w:style w:type="character" w:customStyle="1" w:styleId="86">
    <w:name w:val="bds_nopic2"/>
    <w:basedOn w:val="27"/>
    <w:qFormat/>
    <w:uiPriority w:val="0"/>
  </w:style>
  <w:style w:type="table" w:customStyle="1" w:styleId="87">
    <w:name w:val="网格型5"/>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8">
    <w:name w:val="网格型4"/>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9">
    <w:name w:val="网格型2"/>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0">
    <w:name w:val="网格型3"/>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1">
    <w:name w:val="网格型1"/>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2">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2520</Words>
  <Characters>14364</Characters>
  <Lines>119</Lines>
  <Paragraphs>33</Paragraphs>
  <TotalTime>146</TotalTime>
  <ScaleCrop>false</ScaleCrop>
  <LinksUpToDate>false</LinksUpToDate>
  <CharactersWithSpaces>16851</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2020-12-15T11:51:00Z</dcterms:created>
  <dc:creator>Administrator</dc:creator>
  <cp:keywords>那晶</cp:keywords>
  <cp:lastModifiedBy>赵永开</cp:lastModifiedBy>
  <cp:lastPrinted>2021-02-06T10:18:00Z</cp:lastPrinted>
  <dcterms:modified xsi:type="dcterms:W3CDTF">2021-04-27T11:05:56Z</dcterms:modified>
  <dc:title>滨海经建</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256AB5E4A5DA4A0AB4E651B15C614251</vt:lpwstr>
  </property>
</Properties>
</file>