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line="360" w:lineRule="atLeast"/>
        <w:ind w:left="0" w:firstLine="0"/>
        <w:jc w:val="center"/>
        <w:rPr>
          <w:rFonts w:ascii="宋体" w:hAnsi="宋体" w:eastAsia="宋体" w:cs="宋体"/>
          <w:b w:val="0"/>
          <w:i w:val="0"/>
          <w:caps w:val="0"/>
          <w:color w:val="101010"/>
          <w:spacing w:val="0"/>
          <w:sz w:val="21"/>
          <w:szCs w:val="21"/>
        </w:rPr>
      </w:pPr>
      <w:bookmarkStart w:id="0" w:name="_GoBack"/>
      <w:r>
        <w:rPr>
          <w:rFonts w:ascii="黑体" w:hAnsi="宋体" w:eastAsia="黑体" w:cs="黑体"/>
          <w:b w:val="0"/>
          <w:i w:val="0"/>
          <w:caps w:val="0"/>
          <w:color w:val="101010"/>
          <w:spacing w:val="0"/>
          <w:kern w:val="0"/>
          <w:sz w:val="36"/>
          <w:szCs w:val="36"/>
          <w:shd w:val="clear" w:fill="FFFFFF"/>
          <w:lang w:val="en-US" w:eastAsia="zh-CN" w:bidi="ar"/>
        </w:rPr>
        <w:t>江西省建筑业营改增后现行建设工程计价</w:t>
      </w:r>
    </w:p>
    <w:p>
      <w:pPr>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101010"/>
          <w:spacing w:val="0"/>
          <w:sz w:val="21"/>
          <w:szCs w:val="21"/>
        </w:rPr>
      </w:pPr>
      <w:r>
        <w:rPr>
          <w:rFonts w:hint="eastAsia" w:ascii="黑体" w:hAnsi="宋体" w:eastAsia="黑体" w:cs="黑体"/>
          <w:b w:val="0"/>
          <w:i w:val="0"/>
          <w:caps w:val="0"/>
          <w:color w:val="101010"/>
          <w:spacing w:val="0"/>
          <w:kern w:val="0"/>
          <w:sz w:val="36"/>
          <w:szCs w:val="36"/>
          <w:shd w:val="clear" w:fill="FFFFFF"/>
          <w:lang w:val="en-US" w:eastAsia="zh-CN" w:bidi="ar"/>
        </w:rPr>
        <w:t>规则和依据调整办法（试行）</w:t>
      </w:r>
    </w:p>
    <w:bookmarkEnd w:id="0"/>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i w:val="0"/>
          <w:caps w:val="0"/>
          <w:color w:val="101010"/>
          <w:spacing w:val="0"/>
          <w:kern w:val="0"/>
          <w:sz w:val="27"/>
          <w:szCs w:val="27"/>
          <w:shd w:val="clear" w:fill="FFFFFF"/>
          <w:lang w:val="en-US" w:eastAsia="zh-CN" w:bidi="ar"/>
        </w:rPr>
        <w:t> </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为满足我省建筑业营改增后建筑工程计价工作的需要，保障建筑业“营改增”后工程造价计价工作顺利、平稳实施，根据国家财政部、国家税务总局《关于全面推开营业税改征增值税试点的通知》(财税〔2016〕36号)和住房城乡建设部办公厅《关于做好建筑业营改增建设工程计价依据的调整准备工作的通知》（建办标[2016]4号）的规定，结合我省具体情况，本着遵守规定、简明适用的原则，制订本办法。具体如下:</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w:t>
      </w:r>
      <w:r>
        <w:rPr>
          <w:rFonts w:hint="eastAsia" w:ascii="黑体" w:hAnsi="宋体" w:eastAsia="黑体" w:cs="黑体"/>
          <w:b w:val="0"/>
          <w:i w:val="0"/>
          <w:caps w:val="0"/>
          <w:color w:val="101010"/>
          <w:spacing w:val="0"/>
          <w:kern w:val="0"/>
          <w:sz w:val="27"/>
          <w:szCs w:val="27"/>
          <w:shd w:val="clear" w:fill="FFFFFF"/>
          <w:lang w:val="en-US" w:eastAsia="zh-CN" w:bidi="ar"/>
        </w:rPr>
        <w:t>一、调整原则</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遵循增值税“价税分离”的税制要求和维持营改增前后建设工程项目费用水平基本不变的思路，对我省现行建设工程计价定额基价、取费标准、计费程序基本不作调整，对包含在材料费、机械费、总价措施费和企业管理费中可抵扣的进项税额从含税造价中扣除，在除税价的基础上计算增值税（销项税额），进而形成增值税下的工程总造价{工程总造价价=税前工程总造价×（1+11%）}。考虑到增值税的价外税属性，将附加税（城市建设维护税、教育费附加、地方教育费附加）放入企业管理费中。</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w:t>
      </w:r>
      <w:r>
        <w:rPr>
          <w:rFonts w:hint="eastAsia" w:ascii="黑体" w:hAnsi="宋体" w:eastAsia="黑体" w:cs="黑体"/>
          <w:b w:val="0"/>
          <w:i w:val="0"/>
          <w:caps w:val="0"/>
          <w:color w:val="101010"/>
          <w:spacing w:val="0"/>
          <w:kern w:val="0"/>
          <w:sz w:val="27"/>
          <w:szCs w:val="27"/>
          <w:shd w:val="clear" w:fill="FFFFFF"/>
          <w:lang w:val="en-US" w:eastAsia="zh-CN" w:bidi="ar"/>
        </w:rPr>
        <w:t>二、调整依据</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1. 住房城乡建设部办公厅《关于做好建筑业营改增建设工程计价依据的调整准备工作的通知》（建办标[2016]4号）；</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 《关于全面推开营业税改征增值税试点的通知》(财税〔2016〕36号)；</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3.江西省现行清单计价规范、计价定额和费用标准、工程造价相关管理政策等；</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4.其他相关资料。</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w:t>
      </w:r>
      <w:r>
        <w:rPr>
          <w:rFonts w:hint="eastAsia" w:ascii="黑体" w:hAnsi="宋体" w:eastAsia="黑体" w:cs="黑体"/>
          <w:b w:val="0"/>
          <w:i w:val="0"/>
          <w:caps w:val="0"/>
          <w:color w:val="101010"/>
          <w:spacing w:val="0"/>
          <w:kern w:val="0"/>
          <w:sz w:val="27"/>
          <w:szCs w:val="27"/>
          <w:shd w:val="clear" w:fill="FFFFFF"/>
          <w:lang w:val="en-US" w:eastAsia="zh-CN" w:bidi="ar"/>
        </w:rPr>
        <w:t>三、调整方法</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本办法按照增值税一般计税方法的税制要求，对现行建设工程计价定额的计算规则和依据进行调整，把包括在材料费、机械费、总价措施费和企业管理费中的进项税额扣除，具体方法如下：</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i w:val="0"/>
          <w:caps w:val="0"/>
          <w:color w:val="101010"/>
          <w:spacing w:val="0"/>
          <w:kern w:val="0"/>
          <w:sz w:val="27"/>
          <w:szCs w:val="27"/>
          <w:shd w:val="clear" w:fill="FFFFFF"/>
          <w:lang w:val="en-US" w:eastAsia="zh-CN" w:bidi="ar"/>
        </w:rPr>
        <w:t>　　1.材料费</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（1）材料单价按运到施工现场交货的情况考虑，其费用包括原价、运杂费和场外运输损耗费，另加采保费。材料费中包括的进项税额按下列公式计算：</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w:t>
      </w:r>
      <w:r>
        <w:rPr>
          <w:rFonts w:hint="eastAsia" w:ascii="宋体" w:hAnsi="宋体" w:eastAsia="宋体" w:cs="宋体"/>
          <w:b w:val="0"/>
          <w:i w:val="0"/>
          <w:caps w:val="0"/>
          <w:color w:val="101010"/>
          <w:spacing w:val="0"/>
          <w:kern w:val="0"/>
          <w:sz w:val="27"/>
          <w:szCs w:val="27"/>
          <w:shd w:val="clear" w:fill="FFFFFF"/>
          <w:lang w:val="en-US" w:eastAsia="zh-CN" w:bidi="ar"/>
        </w:rPr>
        <w:fldChar w:fldCharType="begin"/>
      </w:r>
      <w:r>
        <w:rPr>
          <w:rFonts w:hint="eastAsia" w:ascii="宋体" w:hAnsi="宋体" w:eastAsia="宋体" w:cs="宋体"/>
          <w:b w:val="0"/>
          <w:i w:val="0"/>
          <w:caps w:val="0"/>
          <w:color w:val="101010"/>
          <w:spacing w:val="0"/>
          <w:kern w:val="0"/>
          <w:sz w:val="27"/>
          <w:szCs w:val="27"/>
          <w:shd w:val="clear" w:fill="FFFFFF"/>
          <w:lang w:val="en-US" w:eastAsia="zh-CN" w:bidi="ar"/>
        </w:rPr>
        <w:instrText xml:space="preserve">INCLUDEPICTURE \d "http://www.jxzj.net.cn/Uploads/Annex/111.png" \* MERGEFORMATINET </w:instrText>
      </w:r>
      <w:r>
        <w:rPr>
          <w:rFonts w:hint="eastAsia" w:ascii="宋体" w:hAnsi="宋体" w:eastAsia="宋体" w:cs="宋体"/>
          <w:b w:val="0"/>
          <w:i w:val="0"/>
          <w:caps w:val="0"/>
          <w:color w:val="101010"/>
          <w:spacing w:val="0"/>
          <w:kern w:val="0"/>
          <w:sz w:val="27"/>
          <w:szCs w:val="27"/>
          <w:shd w:val="clear" w:fill="FFFFFF"/>
          <w:lang w:val="en-US" w:eastAsia="zh-CN" w:bidi="ar"/>
        </w:rPr>
        <w:fldChar w:fldCharType="separate"/>
      </w:r>
      <w:r>
        <w:rPr>
          <w:rFonts w:hint="eastAsia" w:ascii="宋体" w:hAnsi="宋体" w:eastAsia="宋体" w:cs="宋体"/>
          <w:b w:val="0"/>
          <w:i w:val="0"/>
          <w:caps w:val="0"/>
          <w:color w:val="101010"/>
          <w:spacing w:val="0"/>
          <w:kern w:val="0"/>
          <w:sz w:val="27"/>
          <w:szCs w:val="27"/>
          <w:shd w:val="clear" w:fill="FFFFFF"/>
          <w:lang w:val="en-US" w:eastAsia="zh-CN" w:bidi="ar"/>
        </w:rPr>
        <w:drawing>
          <wp:inline distT="0" distB="0" distL="114300" distR="114300">
            <wp:extent cx="3086100" cy="10953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3086100" cy="1095375"/>
                    </a:xfrm>
                    <a:prstGeom prst="rect">
                      <a:avLst/>
                    </a:prstGeom>
                    <a:noFill/>
                    <a:ln w="9525">
                      <a:noFill/>
                      <a:miter/>
                    </a:ln>
                  </pic:spPr>
                </pic:pic>
              </a:graphicData>
            </a:graphic>
          </wp:inline>
        </w:drawing>
      </w:r>
      <w:r>
        <w:rPr>
          <w:rFonts w:hint="eastAsia" w:ascii="宋体" w:hAnsi="宋体" w:eastAsia="宋体" w:cs="宋体"/>
          <w:b w:val="0"/>
          <w:i w:val="0"/>
          <w:caps w:val="0"/>
          <w:color w:val="101010"/>
          <w:spacing w:val="0"/>
          <w:kern w:val="0"/>
          <w:sz w:val="27"/>
          <w:szCs w:val="27"/>
          <w:shd w:val="clear" w:fill="FFFFFF"/>
          <w:lang w:val="en-US" w:eastAsia="zh-CN" w:bidi="ar"/>
        </w:rPr>
        <w:fldChar w:fldCharType="end"/>
      </w:r>
    </w:p>
    <w:tbl>
      <w:tblPr>
        <w:tblW w:w="953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27"/>
        <w:gridCol w:w="2748"/>
        <w:gridCol w:w="3670"/>
        <w:gridCol w:w="23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top"/>
          </w:tcPr>
          <w:p>
            <w:pPr>
              <w:keepNext w:val="0"/>
              <w:keepLines w:val="0"/>
              <w:widowControl/>
              <w:suppressLineNumbers w:val="0"/>
              <w:jc w:val="left"/>
              <w:rPr>
                <w:sz w:val="18"/>
                <w:szCs w:val="18"/>
              </w:rPr>
            </w:pPr>
            <w:r>
              <w:rPr>
                <w:rFonts w:ascii="宋体" w:hAnsi="宋体" w:eastAsia="宋体" w:cs="宋体"/>
                <w:kern w:val="0"/>
                <w:sz w:val="27"/>
                <w:szCs w:val="27"/>
                <w:lang w:val="en-US" w:eastAsia="zh-CN" w:bidi="ar"/>
              </w:rPr>
              <w:t>序号</w:t>
            </w:r>
          </w:p>
        </w:tc>
        <w:tc>
          <w:tcPr>
            <w:tcW w:w="2748"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材料种类</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增值税适用税率或征收率 %</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平均税率或征收率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w:t>
            </w:r>
          </w:p>
        </w:tc>
        <w:tc>
          <w:tcPr>
            <w:tcW w:w="2748" w:type="dxa"/>
            <w:shd w:val="clear"/>
            <w:vAlign w:val="center"/>
          </w:tcPr>
          <w:p>
            <w:pPr>
              <w:keepNext w:val="0"/>
              <w:keepLines w:val="0"/>
              <w:widowControl/>
              <w:suppressLineNumbers w:val="0"/>
              <w:jc w:val="left"/>
              <w:rPr>
                <w:sz w:val="18"/>
                <w:szCs w:val="18"/>
              </w:rPr>
            </w:pPr>
            <w:r>
              <w:rPr>
                <w:rFonts w:ascii="宋体" w:hAnsi="宋体" w:eastAsia="宋体" w:cs="宋体"/>
                <w:kern w:val="0"/>
                <w:sz w:val="27"/>
                <w:szCs w:val="27"/>
                <w:lang w:val="en-US" w:eastAsia="zh-CN" w:bidi="ar"/>
              </w:rPr>
              <w:t>砖、瓦、石灰、砂、土、石、商品水泥混凝土、自来水</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top"/>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w:t>
            </w:r>
          </w:p>
        </w:tc>
        <w:tc>
          <w:tcPr>
            <w:tcW w:w="2748"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苗木、原木、各类农业产品、）图书、报纸、杂志</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13</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12.77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top"/>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w:t>
            </w:r>
          </w:p>
        </w:tc>
        <w:tc>
          <w:tcPr>
            <w:tcW w:w="2748"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有色金属、不锈钢制品</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17</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16.85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top"/>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w:t>
            </w:r>
          </w:p>
        </w:tc>
        <w:tc>
          <w:tcPr>
            <w:tcW w:w="2748"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其它材料(设备)</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17</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16.66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95" w:hRule="atLeast"/>
          <w:tblCellSpacing w:w="0" w:type="dxa"/>
        </w:trPr>
        <w:tc>
          <w:tcPr>
            <w:tcW w:w="727" w:type="dxa"/>
            <w:shd w:val="clear"/>
            <w:vAlign w:val="top"/>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5</w:t>
            </w:r>
          </w:p>
        </w:tc>
        <w:tc>
          <w:tcPr>
            <w:tcW w:w="2748"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其它材料费</w:t>
            </w:r>
          </w:p>
        </w:tc>
        <w:tc>
          <w:tcPr>
            <w:tcW w:w="367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 </w:t>
            </w:r>
          </w:p>
        </w:tc>
        <w:tc>
          <w:tcPr>
            <w:tcW w:w="2393"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15.00</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注：其中采保费按照我省规定费率，保持现有水平不变，其中考虑30%含有可扣进项税额，税率按17%。</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（2）材料差价按含税价格调整。材料市场信息价按含税价及相应增值税率发布。</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2.机械费</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现行定额机械台班单价由折旧费、大修费、经常修理费、安拆费及场外运费、人工费、燃料动力费组成，其中可抵扣进项税额按下表方法及适用增值税率计算。</w:t>
      </w:r>
    </w:p>
    <w:tbl>
      <w:tblPr>
        <w:tblW w:w="830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58"/>
        <w:gridCol w:w="1959"/>
        <w:gridCol w:w="55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序号</w:t>
            </w:r>
          </w:p>
        </w:tc>
        <w:tc>
          <w:tcPr>
            <w:tcW w:w="1959"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施工机具台班单价</w:t>
            </w:r>
          </w:p>
        </w:tc>
        <w:tc>
          <w:tcPr>
            <w:tcW w:w="5587"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调整方法及适用税率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机械台班单价</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1.1</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折旧费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以购进货物适用的税率17%计算抵扣进项税额。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1.2</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大修费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以接受修理修配劳务适用的税率17%计算抵扣进项税额。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1.3</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经常修理费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考虑部分外修和购买零配件费用（按该项费用的70%考虑），以接受修理修配劳务和购进货物适用的税率17%计算抵扣进项税额。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1.4</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安拆及场外运输费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按自行安拆、运输考虑，不予扣减。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1.5</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台班人工费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组成内容为工资总额，不予扣减。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1.6</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台班燃料动力费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以购进货物适用的相应税率或征收率扣减，其中自来水税率征收率3%，他燃料动力的适用税率17%计算抵扣进项税额。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8" w:type="dxa"/>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2</w:t>
            </w:r>
          </w:p>
        </w:tc>
        <w:tc>
          <w:tcPr>
            <w:tcW w:w="1959"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其它机械费</w:t>
            </w:r>
          </w:p>
        </w:tc>
        <w:tc>
          <w:tcPr>
            <w:tcW w:w="5587" w:type="dxa"/>
            <w:shd w:val="clear" w:color="auto" w:fill="FFFFFF"/>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101010"/>
                <w:spacing w:val="0"/>
                <w:sz w:val="18"/>
                <w:szCs w:val="18"/>
              </w:rPr>
            </w:pPr>
            <w:r>
              <w:rPr>
                <w:rFonts w:hint="eastAsia" w:ascii="宋体" w:hAnsi="宋体" w:eastAsia="宋体" w:cs="宋体"/>
                <w:b w:val="0"/>
                <w:i w:val="0"/>
                <w:caps w:val="0"/>
                <w:color w:val="101010"/>
                <w:spacing w:val="0"/>
                <w:kern w:val="0"/>
                <w:sz w:val="27"/>
                <w:szCs w:val="27"/>
                <w:lang w:val="en-US" w:eastAsia="zh-CN" w:bidi="ar"/>
              </w:rPr>
              <w:t>现行定额项目中的其它机械费按15%的平均税率计算可抵扣的进项税额。</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3.总价措施费</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总价措施费是指在现行费用定额中按费率计算的措施费用，如安全文明施工费、夜间施工增加费、检验试验费等按费率计算的费用。其综合税率按以下规定计算可抵扣的进项税额。</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（1）安全文明施工费、检验试验等六项措施费按6%的平均税率计算可抵扣的进项税额。</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（2）以系数计算的项目费用（如安装工程中的脚手架搭拆费等）按平均税率4%计算可抵扣的进项税额。</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4.企业管理费</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（1）现行企业管理费包括12项费用。其中办公费、固定资产使用费、工具用具使用费等3项内容包含可抵扣的进项税额。其可抵扣的进项税额按平均税率2.25%计算。</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由于增值税价外税的属性，附加税（城市建设维护税、教育费附加、地方教育费附加）放在增值税后计算已不合适，因此将其纳入企业管理费中计算，附加税无可抵扣进项税额。各专业定额企业管理费（间接费）增加一项附加税，其增加费率如下：</w:t>
      </w:r>
    </w:p>
    <w:p>
      <w:pPr>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101010"/>
          <w:spacing w:val="0"/>
          <w:sz w:val="21"/>
          <w:szCs w:val="21"/>
        </w:rPr>
      </w:pPr>
      <w:r>
        <w:rPr>
          <w:rFonts w:hint="eastAsia" w:ascii="宋体" w:hAnsi="宋体" w:eastAsia="宋体" w:cs="宋体"/>
          <w:b/>
          <w:i w:val="0"/>
          <w:caps w:val="0"/>
          <w:color w:val="101010"/>
          <w:spacing w:val="0"/>
          <w:kern w:val="0"/>
          <w:sz w:val="27"/>
          <w:szCs w:val="27"/>
          <w:shd w:val="clear" w:fill="FFFFFF"/>
          <w:lang w:val="en-US" w:eastAsia="zh-CN" w:bidi="ar"/>
        </w:rPr>
        <w:t>企业管理费增加（附加税）费率</w:t>
      </w:r>
    </w:p>
    <w:tbl>
      <w:tblPr>
        <w:tblW w:w="8955" w:type="dxa"/>
        <w:jc w:val="center"/>
        <w:tblCellSpacing w:w="0" w:type="dxa"/>
        <w:tblInd w:w="-30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50"/>
        <w:gridCol w:w="840"/>
        <w:gridCol w:w="1365"/>
        <w:gridCol w:w="2415"/>
        <w:gridCol w:w="1320"/>
        <w:gridCol w:w="1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jc w:val="center"/>
        </w:trPr>
        <w:tc>
          <w:tcPr>
            <w:tcW w:w="5670" w:type="dxa"/>
            <w:gridSpan w:val="4"/>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工程类别</w:t>
            </w:r>
          </w:p>
        </w:tc>
        <w:tc>
          <w:tcPr>
            <w:tcW w:w="1320"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取费基数</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增加费率（%）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建筑工程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四类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其中</w:t>
            </w:r>
          </w:p>
        </w:tc>
        <w:tc>
          <w:tcPr>
            <w:tcW w:w="84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桩基工程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混凝土、木构件制作安装工程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四类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金属结构件制作安装工程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四类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840" w:type="dxa"/>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大型土石方及单独土石方工程</w:t>
            </w:r>
          </w:p>
        </w:tc>
        <w:tc>
          <w:tcPr>
            <w:tcW w:w="2205"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机械施工</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2205" w:type="dxa"/>
            <w:gridSpan w:val="2"/>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2205" w:type="dxa"/>
            <w:gridSpan w:val="2"/>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2205"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人工施工</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2205" w:type="dxa"/>
            <w:gridSpan w:val="2"/>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50" w:type="dxa"/>
            <w:vMerge w:val="continue"/>
            <w:shd w:val="clear"/>
            <w:vAlign w:val="center"/>
          </w:tcPr>
          <w:p>
            <w:pPr>
              <w:rPr>
                <w:rFonts w:hint="eastAsia" w:ascii="宋体"/>
                <w:sz w:val="18"/>
                <w:szCs w:val="18"/>
              </w:rPr>
            </w:pPr>
          </w:p>
        </w:tc>
        <w:tc>
          <w:tcPr>
            <w:tcW w:w="2205" w:type="dxa"/>
            <w:gridSpan w:val="2"/>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装饰工程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1.743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1.050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2.070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1.718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1.685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四类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1.660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安装工程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一类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3.652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二类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4.370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3.627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2.185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三类</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4.310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3.577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2.155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市政工程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建筑</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0.840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机械土方</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0.701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人工土方</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0.863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安装</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4.406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3.657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2.203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园林工程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4.370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3.627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2.185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轨道交通工程</w:t>
            </w: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桥涵工程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人工费+机械费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2.689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1.345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明挖工程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1.989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1.651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0.995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暗挖工程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3.030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2.515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1.515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盾构工程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1.471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1.221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0.736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轨道工程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5.900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4.897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机械大型土石方工程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安装工程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人工费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2.680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2.224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890" w:type="dxa"/>
            <w:gridSpan w:val="2"/>
            <w:vMerge w:val="continue"/>
            <w:shd w:val="clear"/>
            <w:vAlign w:val="center"/>
          </w:tcPr>
          <w:p>
            <w:pPr>
              <w:rPr>
                <w:rFonts w:hint="eastAsia" w:ascii="宋体"/>
                <w:sz w:val="18"/>
                <w:szCs w:val="18"/>
              </w:rPr>
            </w:pPr>
          </w:p>
        </w:tc>
        <w:tc>
          <w:tcPr>
            <w:tcW w:w="1365" w:type="dxa"/>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1.340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仿古建筑工程</w:t>
            </w: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在市区</w:t>
            </w:r>
          </w:p>
        </w:tc>
        <w:tc>
          <w:tcPr>
            <w:tcW w:w="1320" w:type="dxa"/>
            <w:vMerge w:val="restart"/>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工料机费</w:t>
            </w: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0.659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在县城、镇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0.547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255" w:type="dxa"/>
            <w:gridSpan w:val="3"/>
            <w:vMerge w:val="continue"/>
            <w:shd w:val="clear"/>
            <w:vAlign w:val="center"/>
          </w:tcPr>
          <w:p>
            <w:pPr>
              <w:rPr>
                <w:rFonts w:hint="eastAsia" w:ascii="宋体"/>
                <w:sz w:val="18"/>
                <w:szCs w:val="18"/>
              </w:rPr>
            </w:pPr>
          </w:p>
        </w:tc>
        <w:tc>
          <w:tcPr>
            <w:tcW w:w="241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不在市区、城、镇</w:t>
            </w:r>
          </w:p>
        </w:tc>
        <w:tc>
          <w:tcPr>
            <w:tcW w:w="1320" w:type="dxa"/>
            <w:vMerge w:val="continue"/>
            <w:shd w:val="clear"/>
            <w:vAlign w:val="center"/>
          </w:tcPr>
          <w:p>
            <w:pPr>
              <w:rPr>
                <w:rFonts w:hint="eastAsia" w:ascii="宋体"/>
                <w:sz w:val="18"/>
                <w:szCs w:val="18"/>
              </w:rPr>
            </w:pPr>
          </w:p>
        </w:tc>
        <w:tc>
          <w:tcPr>
            <w:tcW w:w="1965" w:type="dxa"/>
            <w:shd w:val="clear"/>
            <w:vAlign w:val="center"/>
          </w:tcPr>
          <w:p>
            <w:pPr>
              <w:keepNext w:val="0"/>
              <w:keepLines w:val="0"/>
              <w:widowControl/>
              <w:suppressLineNumbers w:val="0"/>
              <w:jc w:val="center"/>
              <w:rPr>
                <w:sz w:val="18"/>
                <w:szCs w:val="18"/>
              </w:rPr>
            </w:pPr>
            <w:r>
              <w:rPr>
                <w:rFonts w:ascii="宋体" w:hAnsi="宋体" w:eastAsia="宋体" w:cs="宋体"/>
                <w:kern w:val="0"/>
                <w:sz w:val="27"/>
                <w:szCs w:val="27"/>
                <w:lang w:val="en-US" w:eastAsia="zh-CN" w:bidi="ar"/>
              </w:rPr>
              <w:t>0.330</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黑体" w:hAnsi="宋体" w:eastAsia="黑体" w:cs="黑体"/>
          <w:b w:val="0"/>
          <w:i w:val="0"/>
          <w:caps w:val="0"/>
          <w:color w:val="101010"/>
          <w:spacing w:val="0"/>
          <w:kern w:val="0"/>
          <w:sz w:val="27"/>
          <w:szCs w:val="27"/>
          <w:shd w:val="clear" w:fill="FFFFFF"/>
          <w:lang w:val="en-US" w:eastAsia="zh-CN" w:bidi="ar"/>
        </w:rPr>
        <w:t>　　四、其它规定</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1.依据计价规则和依据调整原则，对增值税下工程造价的计算程序及表格需作相应调整，具体由省建设工程造价管理局承担发布。</w:t>
      </w:r>
    </w:p>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kern w:val="0"/>
          <w:sz w:val="27"/>
          <w:szCs w:val="27"/>
          <w:shd w:val="clear" w:fill="FFFFFF"/>
          <w:lang w:val="en-US" w:eastAsia="zh-CN" w:bidi="ar"/>
        </w:rPr>
        <w:t>　　2.材料（设备）暂估价先按含税价计入综合单价，然后按本办法计算可抵扣进项税额，进行除税；专业工程暂估价应为营改增后的工程造价。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10C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jxzj.net.cn/Uploads/Annex/111.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CD&amp;RB</dc:creator>
  <cp:lastModifiedBy>CD&amp;RB</cp:lastModifiedBy>
  <dcterms:modified xsi:type="dcterms:W3CDTF">2016-05-17T01:46:41Z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